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spacing w:line="480" w:lineRule="auto"/>
        <w:ind w:firstLine="0" w:firstLineChars="0"/>
        <w:jc w:val="center"/>
        <w:outlineLvl w:val="0"/>
        <w:rPr>
          <w:rFonts w:hint="eastAsia" w:asciiTheme="minorEastAsia" w:hAnsiTheme="minorEastAsia" w:eastAsiaTheme="minorEastAsia" w:cstheme="minorEastAsia"/>
          <w:b/>
          <w:color w:val="000000" w:themeColor="text1"/>
          <w:sz w:val="44"/>
          <w:szCs w:val="44"/>
          <w14:textFill>
            <w14:solidFill>
              <w14:schemeClr w14:val="tx1"/>
            </w14:solidFill>
          </w14:textFill>
        </w:rPr>
      </w:pPr>
    </w:p>
    <w:p>
      <w:pPr>
        <w:widowControl w:val="0"/>
        <w:adjustRightInd w:val="0"/>
        <w:snapToGrid w:val="0"/>
        <w:spacing w:line="480" w:lineRule="auto"/>
        <w:ind w:firstLine="0" w:firstLineChars="0"/>
        <w:jc w:val="center"/>
        <w:outlineLvl w:val="0"/>
        <w:rPr>
          <w:rFonts w:hint="eastAsia" w:asciiTheme="minorEastAsia" w:hAnsiTheme="minorEastAsia" w:eastAsiaTheme="minorEastAsia" w:cstheme="minorEastAsia"/>
          <w:b/>
          <w:color w:val="000000" w:themeColor="text1"/>
          <w:sz w:val="44"/>
          <w:szCs w:val="44"/>
          <w14:textFill>
            <w14:solidFill>
              <w14:schemeClr w14:val="tx1"/>
            </w14:solidFill>
          </w14:textFill>
        </w:rPr>
      </w:pPr>
      <w:r>
        <w:rPr>
          <w:rFonts w:hint="eastAsia" w:asciiTheme="minorEastAsia" w:hAnsiTheme="minorEastAsia" w:eastAsiaTheme="minorEastAsia" w:cstheme="minorEastAsia"/>
          <w:b/>
          <w:color w:val="000000" w:themeColor="text1"/>
          <w:sz w:val="44"/>
          <w:szCs w:val="44"/>
          <w14:textFill>
            <w14:solidFill>
              <w14:schemeClr w14:val="tx1"/>
            </w14:solidFill>
          </w14:textFill>
        </w:rPr>
        <w:t>江苏省水利建设工程有限公司</w:t>
      </w:r>
    </w:p>
    <w:p>
      <w:pPr>
        <w:widowControl w:val="0"/>
        <w:snapToGrid w:val="0"/>
        <w:ind w:firstLine="723"/>
        <w:rPr>
          <w:rFonts w:hint="eastAsia" w:asciiTheme="minorEastAsia" w:hAnsiTheme="minorEastAsia" w:eastAsiaTheme="minorEastAsia" w:cstheme="minorEastAsia"/>
          <w:b/>
          <w:color w:val="000000" w:themeColor="text1"/>
          <w:sz w:val="36"/>
          <w:szCs w:val="36"/>
          <w14:textFill>
            <w14:solidFill>
              <w14:schemeClr w14:val="tx1"/>
            </w14:solidFill>
          </w14:textFill>
        </w:rPr>
      </w:pPr>
      <w:r>
        <w:rPr>
          <w:color w:val="000000"/>
        </w:rPr>
        <w:drawing>
          <wp:anchor distT="0" distB="0" distL="114300" distR="114300" simplePos="0" relativeHeight="251659264" behindDoc="1" locked="0" layoutInCell="1" allowOverlap="1">
            <wp:simplePos x="0" y="0"/>
            <wp:positionH relativeFrom="column">
              <wp:posOffset>1957070</wp:posOffset>
            </wp:positionH>
            <wp:positionV relativeFrom="paragraph">
              <wp:posOffset>152400</wp:posOffset>
            </wp:positionV>
            <wp:extent cx="2233295" cy="1889125"/>
            <wp:effectExtent l="0" t="0" r="0" b="0"/>
            <wp:wrapNone/>
            <wp:docPr id="3"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JH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233295" cy="1889125"/>
                    </a:xfrm>
                    <a:prstGeom prst="rect">
                      <a:avLst/>
                    </a:prstGeom>
                    <a:noFill/>
                    <a:ln>
                      <a:noFill/>
                    </a:ln>
                  </pic:spPr>
                </pic:pic>
              </a:graphicData>
            </a:graphic>
          </wp:anchor>
        </w:drawing>
      </w:r>
    </w:p>
    <w:p>
      <w:pPr>
        <w:widowControl w:val="0"/>
        <w:snapToGrid w:val="0"/>
        <w:ind w:firstLine="723"/>
        <w:rPr>
          <w:rFonts w:hint="eastAsia" w:asciiTheme="minorEastAsia" w:hAnsiTheme="minorEastAsia" w:eastAsiaTheme="minorEastAsia" w:cstheme="minorEastAsia"/>
          <w:b/>
          <w:color w:val="000000" w:themeColor="text1"/>
          <w:sz w:val="36"/>
          <w:szCs w:val="36"/>
          <w14:textFill>
            <w14:solidFill>
              <w14:schemeClr w14:val="tx1"/>
            </w14:solidFill>
          </w14:textFill>
        </w:rPr>
      </w:pPr>
    </w:p>
    <w:p>
      <w:pPr>
        <w:pStyle w:val="4"/>
        <w:widowControl w:val="0"/>
        <w:ind w:firstLine="723"/>
        <w:rPr>
          <w:rFonts w:hint="eastAsia" w:asciiTheme="minorEastAsia" w:hAnsiTheme="minorEastAsia" w:eastAsiaTheme="minorEastAsia" w:cstheme="minorEastAsia"/>
          <w:b/>
          <w:color w:val="000000" w:themeColor="text1"/>
          <w:sz w:val="36"/>
          <w:szCs w:val="36"/>
          <w14:textFill>
            <w14:solidFill>
              <w14:schemeClr w14:val="tx1"/>
            </w14:solidFill>
          </w14:textFill>
        </w:rPr>
      </w:pPr>
    </w:p>
    <w:p>
      <w:pPr>
        <w:widowControl w:val="0"/>
        <w:ind w:firstLine="480"/>
        <w:rPr>
          <w:rFonts w:hint="eastAsia" w:asciiTheme="minorEastAsia" w:hAnsiTheme="minorEastAsia" w:eastAsiaTheme="minorEastAsia" w:cstheme="minorEastAsia"/>
          <w:color w:val="000000" w:themeColor="text1"/>
          <w14:textFill>
            <w14:solidFill>
              <w14:schemeClr w14:val="tx1"/>
            </w14:solidFill>
          </w14:textFill>
        </w:rPr>
      </w:pPr>
    </w:p>
    <w:p>
      <w:pPr>
        <w:widowControl w:val="0"/>
        <w:snapToGrid w:val="0"/>
        <w:ind w:firstLine="723"/>
        <w:rPr>
          <w:rFonts w:hint="eastAsia" w:asciiTheme="minorEastAsia" w:hAnsiTheme="minorEastAsia" w:eastAsiaTheme="minorEastAsia" w:cstheme="minorEastAsia"/>
          <w:b/>
          <w:color w:val="000000" w:themeColor="text1"/>
          <w:sz w:val="36"/>
          <w:szCs w:val="36"/>
          <w14:textFill>
            <w14:solidFill>
              <w14:schemeClr w14:val="tx1"/>
            </w14:solidFill>
          </w14:textFill>
        </w:rPr>
      </w:pPr>
    </w:p>
    <w:p>
      <w:pPr>
        <w:widowControl w:val="0"/>
        <w:adjustRightInd w:val="0"/>
        <w:snapToGrid w:val="0"/>
        <w:spacing w:line="480" w:lineRule="auto"/>
        <w:ind w:firstLine="880"/>
        <w:jc w:val="center"/>
        <w:rPr>
          <w:rFonts w:hint="eastAsia" w:asciiTheme="minorEastAsia" w:hAnsiTheme="minorEastAsia" w:eastAsiaTheme="minorEastAsia" w:cstheme="minorEastAsia"/>
          <w:bCs/>
          <w:color w:val="000000" w:themeColor="text1"/>
          <w:sz w:val="44"/>
          <w:szCs w:val="44"/>
          <w14:textFill>
            <w14:solidFill>
              <w14:schemeClr w14:val="tx1"/>
            </w14:solidFill>
          </w14:textFill>
        </w:rPr>
      </w:pPr>
    </w:p>
    <w:p>
      <w:pPr>
        <w:pStyle w:val="4"/>
        <w:widowControl w:val="0"/>
        <w:ind w:firstLine="480"/>
        <w:rPr>
          <w:rFonts w:hint="eastAsia" w:asciiTheme="minorEastAsia" w:hAnsiTheme="minorEastAsia" w:eastAsiaTheme="minorEastAsia" w:cstheme="minorEastAsia"/>
          <w:color w:val="000000" w:themeColor="text1"/>
          <w14:textFill>
            <w14:solidFill>
              <w14:schemeClr w14:val="tx1"/>
            </w14:solidFill>
          </w14:textFill>
        </w:rPr>
      </w:pPr>
    </w:p>
    <w:p>
      <w:pPr>
        <w:widowControl w:val="0"/>
        <w:adjustRightInd w:val="0"/>
        <w:snapToGrid w:val="0"/>
        <w:spacing w:line="480" w:lineRule="auto"/>
        <w:ind w:firstLine="0" w:firstLineChars="0"/>
        <w:jc w:val="center"/>
        <w:rPr>
          <w:rFonts w:hint="eastAsia" w:asciiTheme="minorEastAsia" w:hAnsiTheme="minorEastAsia" w:eastAsiaTheme="minorEastAsia" w:cstheme="minorEastAsia"/>
          <w:b/>
          <w:color w:val="000000" w:themeColor="text1"/>
          <w:sz w:val="52"/>
          <w:szCs w:val="52"/>
          <w14:textFill>
            <w14:solidFill>
              <w14:schemeClr w14:val="tx1"/>
            </w14:solidFill>
          </w14:textFill>
        </w:rPr>
      </w:pPr>
      <w:r>
        <w:rPr>
          <w:rFonts w:hint="eastAsia" w:asciiTheme="minorEastAsia" w:hAnsiTheme="minorEastAsia" w:eastAsiaTheme="minorEastAsia" w:cstheme="minorEastAsia"/>
          <w:b/>
          <w:color w:val="000000" w:themeColor="text1"/>
          <w:sz w:val="52"/>
          <w:szCs w:val="52"/>
          <w14:textFill>
            <w14:solidFill>
              <w14:schemeClr w14:val="tx1"/>
            </w14:solidFill>
          </w14:textFill>
        </w:rPr>
        <w:t>招 标 文 件</w:t>
      </w:r>
    </w:p>
    <w:p>
      <w:pPr>
        <w:widowControl w:val="0"/>
        <w:adjustRightInd w:val="0"/>
        <w:snapToGrid w:val="0"/>
        <w:spacing w:line="480" w:lineRule="auto"/>
        <w:ind w:firstLine="643"/>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pStyle w:val="4"/>
        <w:widowControl w:val="0"/>
        <w:ind w:firstLine="643"/>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pStyle w:val="4"/>
        <w:widowControl w:val="0"/>
        <w:ind w:firstLine="643"/>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widowControl w:val="0"/>
        <w:ind w:firstLine="643"/>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widowControl w:val="0"/>
        <w:snapToGrid w:val="0"/>
        <w:spacing w:before="240" w:line="360" w:lineRule="auto"/>
        <w:ind w:firstLine="482"/>
        <w:rPr>
          <w:rFonts w:hint="eastAsia" w:asciiTheme="minorEastAsia" w:hAnsiTheme="minorEastAsia" w:eastAsiaTheme="minorEastAsia" w:cstheme="minorEastAsia"/>
          <w:b/>
          <w:bCs/>
          <w:color w:val="000000" w:themeColor="text1"/>
          <w:szCs w:val="24"/>
          <w14:textFill>
            <w14:solidFill>
              <w14:schemeClr w14:val="tx1"/>
            </w14:solidFill>
          </w14:textFill>
        </w:rPr>
      </w:pPr>
    </w:p>
    <w:p>
      <w:pPr>
        <w:widowControl w:val="0"/>
        <w:spacing w:line="440" w:lineRule="exact"/>
        <w:ind w:firstLine="482"/>
        <w:rPr>
          <w:rFonts w:hint="eastAsia" w:asciiTheme="minorEastAsia" w:hAnsiTheme="minorEastAsia" w:eastAsiaTheme="minorEastAsia" w:cstheme="minorEastAsia"/>
          <w:b/>
          <w:bCs/>
          <w:color w:val="000000" w:themeColor="text1"/>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Cs w:val="24"/>
          <w14:textFill>
            <w14:solidFill>
              <w14:schemeClr w14:val="tx1"/>
            </w14:solidFill>
          </w14:textFill>
        </w:rPr>
        <w:t>招标项目：</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180m</w:t>
      </w:r>
      <w:r>
        <w:rPr>
          <w:rFonts w:hint="eastAsia" w:asciiTheme="minorEastAsia" w:hAnsiTheme="minorEastAsia" w:eastAsiaTheme="minorEastAsia" w:cstheme="minorEastAsia"/>
          <w:b/>
          <w:bCs/>
          <w:color w:val="000000" w:themeColor="text1"/>
          <w:szCs w:val="24"/>
          <w:u w:val="single"/>
          <w:vertAlign w:val="superscript"/>
          <w:lang w:val="en-US" w:eastAsia="zh-CN"/>
          <w14:textFill>
            <w14:solidFill>
              <w14:schemeClr w14:val="tx1"/>
            </w14:solidFill>
          </w14:textFill>
        </w:rPr>
        <w:t>3</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搅拌站及配套设备采购</w:t>
      </w:r>
    </w:p>
    <w:p>
      <w:pPr>
        <w:widowControl w:val="0"/>
        <w:snapToGrid w:val="0"/>
        <w:spacing w:before="240" w:line="360" w:lineRule="auto"/>
        <w:ind w:left="1680" w:leftChars="200" w:hanging="1200" w:hangingChars="500"/>
        <w:rPr>
          <w:rFonts w:hint="default" w:asciiTheme="minorEastAsia" w:hAnsiTheme="minorEastAsia" w:eastAsiaTheme="minorEastAsia" w:cstheme="minorEastAsia"/>
          <w:b/>
          <w:bCs/>
          <w:color w:val="000000" w:themeColor="text1"/>
          <w:szCs w:val="24"/>
          <w:u w:val="single"/>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Cs w:val="24"/>
          <w14:textFill>
            <w14:solidFill>
              <w14:schemeClr w14:val="tx1"/>
            </w14:solidFill>
          </w14:textFill>
        </w:rPr>
        <w:t>招标编号：</w:t>
      </w:r>
      <w:r>
        <w:rPr>
          <w:rFonts w:hint="eastAsia" w:asciiTheme="minorEastAsia" w:hAnsiTheme="minorEastAsia" w:eastAsiaTheme="minorEastAsia" w:cstheme="minorEastAsia"/>
          <w:b/>
          <w:bCs/>
          <w:color w:val="000000" w:themeColor="text1"/>
          <w:szCs w:val="24"/>
          <w:lang w:val="en-US" w:eastAsia="zh-CN"/>
          <w14:textFill>
            <w14:solidFill>
              <w14:schemeClr w14:val="tx1"/>
            </w14:solidFill>
          </w14:textFill>
        </w:rPr>
        <w:t>2024GDZCJBZCG001</w:t>
      </w:r>
    </w:p>
    <w:p>
      <w:pPr>
        <w:widowControl w:val="0"/>
        <w:snapToGrid w:val="0"/>
        <w:spacing w:before="240" w:line="360" w:lineRule="auto"/>
        <w:ind w:firstLine="482"/>
        <w:outlineLvl w:val="0"/>
        <w:rPr>
          <w:rFonts w:hint="eastAsia" w:asciiTheme="minorEastAsia" w:hAnsiTheme="minorEastAsia" w:eastAsiaTheme="minorEastAsia" w:cstheme="minorEastAsia"/>
          <w:b/>
          <w:bCs/>
          <w:color w:val="000000" w:themeColor="text1"/>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Cs w:val="24"/>
          <w14:textFill>
            <w14:solidFill>
              <w14:schemeClr w14:val="tx1"/>
            </w14:solidFill>
          </w14:textFill>
        </w:rPr>
        <w:t>招 标 人：</w:t>
      </w:r>
      <w:r>
        <w:rPr>
          <w:rFonts w:hint="eastAsia" w:asciiTheme="minorEastAsia" w:hAnsiTheme="minorEastAsia" w:eastAsiaTheme="minorEastAsia" w:cstheme="minorEastAsia"/>
          <w:b/>
          <w:bCs/>
          <w:color w:val="000000" w:themeColor="text1"/>
          <w:szCs w:val="24"/>
          <w:u w:val="single"/>
          <w14:textFill>
            <w14:solidFill>
              <w14:schemeClr w14:val="tx1"/>
            </w14:solidFill>
          </w14:textFill>
        </w:rPr>
        <w:t>江苏省水利建设工程有限公司</w:t>
      </w:r>
    </w:p>
    <w:p>
      <w:pPr>
        <w:widowControl w:val="0"/>
        <w:snapToGrid w:val="0"/>
        <w:spacing w:before="240" w:line="360" w:lineRule="auto"/>
        <w:ind w:firstLine="482"/>
        <w:outlineLvl w:val="0"/>
        <w:rPr>
          <w:rFonts w:hint="eastAsia" w:asciiTheme="minorEastAsia" w:hAnsiTheme="minorEastAsia" w:eastAsiaTheme="minorEastAsia" w:cstheme="minorEastAsia"/>
          <w:b/>
          <w:bCs/>
          <w:color w:val="000000" w:themeColor="text1"/>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Cs w:val="24"/>
          <w14:textFill>
            <w14:solidFill>
              <w14:schemeClr w14:val="tx1"/>
            </w14:solidFill>
          </w14:textFill>
        </w:rPr>
        <w:t>编制日期：</w:t>
      </w:r>
      <w:r>
        <w:rPr>
          <w:rFonts w:hint="eastAsia" w:asciiTheme="minorEastAsia" w:hAnsiTheme="minorEastAsia" w:eastAsiaTheme="minorEastAsia" w:cstheme="minorEastAsia"/>
          <w:b/>
          <w:bCs/>
          <w:color w:val="000000" w:themeColor="text1"/>
          <w:szCs w:val="24"/>
          <w:u w:val="single"/>
          <w14:textFill>
            <w14:solidFill>
              <w14:schemeClr w14:val="tx1"/>
            </w14:solidFill>
          </w14:textFill>
        </w:rPr>
        <w:t>202</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4</w:t>
      </w:r>
      <w:r>
        <w:rPr>
          <w:rFonts w:hint="eastAsia" w:asciiTheme="minorEastAsia" w:hAnsiTheme="minorEastAsia" w:eastAsiaTheme="minorEastAsia" w:cstheme="minorEastAsia"/>
          <w:b/>
          <w:bCs/>
          <w:color w:val="000000" w:themeColor="text1"/>
          <w:szCs w:val="24"/>
          <w:u w:val="single"/>
          <w14:textFill>
            <w14:solidFill>
              <w14:schemeClr w14:val="tx1"/>
            </w14:solidFill>
          </w14:textFill>
        </w:rPr>
        <w:t>年</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2</w:t>
      </w:r>
      <w:r>
        <w:rPr>
          <w:rFonts w:hint="eastAsia" w:asciiTheme="minorEastAsia" w:hAnsiTheme="minorEastAsia" w:eastAsiaTheme="minorEastAsia" w:cstheme="minorEastAsia"/>
          <w:b/>
          <w:bCs/>
          <w:color w:val="000000" w:themeColor="text1"/>
          <w:szCs w:val="24"/>
          <w:u w:val="single"/>
          <w14:textFill>
            <w14:solidFill>
              <w14:schemeClr w14:val="tx1"/>
            </w14:solidFill>
          </w14:textFill>
        </w:rPr>
        <w:t>月</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1</w:t>
      </w:r>
      <w:r>
        <w:rPr>
          <w:rFonts w:hint="eastAsia" w:asciiTheme="minorEastAsia" w:hAnsiTheme="minorEastAsia" w:eastAsiaTheme="minorEastAsia" w:cstheme="minorEastAsia"/>
          <w:b/>
          <w:bCs/>
          <w:color w:val="000000" w:themeColor="text1"/>
          <w:szCs w:val="24"/>
          <w:u w:val="single"/>
          <w14:textFill>
            <w14:solidFill>
              <w14:schemeClr w14:val="tx1"/>
            </w14:solidFill>
          </w14:textFill>
        </w:rPr>
        <w:t>日</w:t>
      </w:r>
    </w:p>
    <w:p>
      <w:pPr>
        <w:widowControl/>
        <w:snapToGrid/>
        <w:spacing w:before="0" w:line="240" w:lineRule="auto"/>
        <w:ind w:firstLine="0"/>
        <w:outlineLvl w:val="9"/>
        <w:rPr>
          <w:rFonts w:hint="eastAsia" w:asciiTheme="minorEastAsia" w:hAnsiTheme="minorEastAsia" w:eastAsiaTheme="minorEastAsia" w:cstheme="minorEastAsia"/>
          <w:b/>
          <w:bCs/>
          <w:color w:val="000000" w:themeColor="text1"/>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Cs w:val="24"/>
          <w:u w:val="single"/>
          <w14:textFill>
            <w14:solidFill>
              <w14:schemeClr w14:val="tx1"/>
            </w14:solidFill>
          </w14:textFill>
        </w:rPr>
        <w:br w:type="page"/>
      </w:r>
    </w:p>
    <w:p>
      <w:pPr>
        <w:pStyle w:val="2"/>
        <w:pageBreakBefore/>
        <w:spacing w:line="440" w:lineRule="exact"/>
        <w:ind w:firstLine="3120" w:firstLineChars="650"/>
        <w:rPr>
          <w:rFonts w:hint="eastAsia" w:asciiTheme="minorEastAsia" w:hAnsiTheme="minorEastAsia" w:eastAsiaTheme="minorEastAsia" w:cstheme="minorEastAsia"/>
          <w:color w:val="000000" w:themeColor="text1"/>
          <w:sz w:val="48"/>
          <w:szCs w:val="48"/>
          <w14:textFill>
            <w14:solidFill>
              <w14:schemeClr w14:val="tx1"/>
            </w14:solidFill>
          </w14:textFill>
        </w:rPr>
      </w:pPr>
      <w:r>
        <w:rPr>
          <w:rFonts w:hint="eastAsia" w:asciiTheme="minorEastAsia" w:hAnsiTheme="minorEastAsia" w:eastAsiaTheme="minorEastAsia" w:cstheme="minorEastAsia"/>
          <w:color w:val="000000" w:themeColor="text1"/>
          <w:sz w:val="48"/>
          <w:szCs w:val="48"/>
          <w14:textFill>
            <w14:solidFill>
              <w14:schemeClr w14:val="tx1"/>
            </w14:solidFill>
          </w14:textFill>
        </w:rPr>
        <w:t>招 标 公 告</w:t>
      </w:r>
    </w:p>
    <w:p>
      <w:pPr>
        <w:widowControl w:val="0"/>
        <w:spacing w:line="440" w:lineRule="exact"/>
        <w:ind w:firstLine="48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我公司中标承建了</w:t>
      </w:r>
      <w:r>
        <w:rPr>
          <w:rFonts w:hint="eastAsia" w:asciiTheme="minorEastAsia" w:hAnsiTheme="minorEastAsia" w:eastAsiaTheme="minorEastAsia" w:cstheme="minorEastAsia"/>
          <w:bCs/>
          <w:color w:val="000000" w:themeColor="text1"/>
          <w:szCs w:val="24"/>
          <w:u w:val="single"/>
          <w14:textFill>
            <w14:solidFill>
              <w14:schemeClr w14:val="tx1"/>
            </w14:solidFill>
          </w14:textFill>
        </w:rPr>
        <w:t>淮河入海水道二期滨海枢纽工程土建施工及设备安装工程</w:t>
      </w:r>
      <w:r>
        <w:rPr>
          <w:rFonts w:hint="eastAsia" w:asciiTheme="minorEastAsia" w:hAnsiTheme="minorEastAsia" w:eastAsiaTheme="minorEastAsia" w:cstheme="minorEastAsia"/>
          <w:color w:val="000000" w:themeColor="text1"/>
          <w14:textFill>
            <w14:solidFill>
              <w14:schemeClr w14:val="tx1"/>
            </w14:solidFill>
          </w14:textFill>
        </w:rPr>
        <w:t>，为保证优质、高效、安全地完成施工任务，现决定对</w:t>
      </w:r>
      <w:r>
        <w:rPr>
          <w:rFonts w:hint="eastAsia" w:asciiTheme="minorEastAsia" w:hAnsiTheme="minorEastAsia" w:eastAsiaTheme="minorEastAsia" w:cstheme="minorEastAsia"/>
          <w:color w:val="000000" w:themeColor="text1"/>
          <w:szCs w:val="24"/>
          <w14:textFill>
            <w14:solidFill>
              <w14:schemeClr w14:val="tx1"/>
            </w14:solidFill>
          </w14:textFill>
        </w:rPr>
        <w:t>该项目</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180m</w:t>
      </w:r>
      <w:r>
        <w:rPr>
          <w:rFonts w:hint="eastAsia" w:asciiTheme="minorEastAsia" w:hAnsiTheme="minorEastAsia" w:eastAsiaTheme="minorEastAsia" w:cstheme="minorEastAsia"/>
          <w:b/>
          <w:bCs/>
          <w:color w:val="000000" w:themeColor="text1"/>
          <w:szCs w:val="24"/>
          <w:u w:val="single"/>
          <w:vertAlign w:val="superscript"/>
          <w:lang w:val="en-US" w:eastAsia="zh-CN"/>
          <w14:textFill>
            <w14:solidFill>
              <w14:schemeClr w14:val="tx1"/>
            </w14:solidFill>
          </w14:textFill>
        </w:rPr>
        <w:t>3</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搅拌站及配套设备</w:t>
      </w:r>
      <w:r>
        <w:rPr>
          <w:rFonts w:hint="eastAsia" w:asciiTheme="minorEastAsia" w:hAnsiTheme="minorEastAsia" w:eastAsiaTheme="minorEastAsia" w:cstheme="minorEastAsia"/>
          <w:color w:val="000000" w:themeColor="text1"/>
          <w14:textFill>
            <w14:solidFill>
              <w14:schemeClr w14:val="tx1"/>
            </w14:solidFill>
          </w14:textFill>
        </w:rPr>
        <w:t>进行公开招标，欢迎参加竞标。</w:t>
      </w:r>
      <w:bookmarkStart w:id="0" w:name="_Toc13095"/>
      <w:bookmarkStart w:id="1" w:name="_Toc211244988"/>
      <w:bookmarkStart w:id="2" w:name="_Toc374458968"/>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一、基本情况</w:t>
      </w:r>
    </w:p>
    <w:p>
      <w:pPr>
        <w:widowControl w:val="0"/>
        <w:snapToGrid w:val="0"/>
        <w:spacing w:before="240" w:line="360" w:lineRule="auto"/>
        <w:ind w:left="1680" w:leftChars="200" w:hanging="1200" w:hangingChars="500"/>
        <w:rPr>
          <w:rFonts w:hint="default" w:asciiTheme="minorEastAsia" w:hAnsiTheme="minorEastAsia" w:eastAsiaTheme="minorEastAsia" w:cstheme="minorEastAsia"/>
          <w:b/>
          <w:bCs/>
          <w:color w:val="000000" w:themeColor="text1"/>
          <w:szCs w:val="24"/>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（一）项目编号：</w:t>
      </w:r>
      <w:r>
        <w:rPr>
          <w:rFonts w:hint="eastAsia" w:asciiTheme="minorEastAsia" w:hAnsiTheme="minorEastAsia" w:eastAsiaTheme="minorEastAsia" w:cstheme="minorEastAsia"/>
          <w:b/>
          <w:bCs/>
          <w:color w:val="000000" w:themeColor="text1"/>
          <w:szCs w:val="24"/>
          <w:lang w:val="en-US" w:eastAsia="zh-CN"/>
          <w14:textFill>
            <w14:solidFill>
              <w14:schemeClr w14:val="tx1"/>
            </w14:solidFill>
          </w14:textFill>
        </w:rPr>
        <w:t>2024GDZCJBZCG001</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（二）项目名称：</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180m</w:t>
      </w:r>
      <w:r>
        <w:rPr>
          <w:rFonts w:hint="eastAsia" w:asciiTheme="minorEastAsia" w:hAnsiTheme="minorEastAsia" w:eastAsiaTheme="minorEastAsia" w:cstheme="minorEastAsia"/>
          <w:b/>
          <w:bCs/>
          <w:color w:val="000000" w:themeColor="text1"/>
          <w:szCs w:val="24"/>
          <w:u w:val="single"/>
          <w:vertAlign w:val="superscript"/>
          <w:lang w:val="en-US" w:eastAsia="zh-CN"/>
          <w14:textFill>
            <w14:solidFill>
              <w14:schemeClr w14:val="tx1"/>
            </w14:solidFill>
          </w14:textFill>
        </w:rPr>
        <w:t>3</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搅拌站及配套设备</w:t>
      </w:r>
    </w:p>
    <w:p>
      <w:pPr>
        <w:widowControl w:val="0"/>
        <w:spacing w:line="500" w:lineRule="exact"/>
        <w:ind w:firstLine="480" w:firstLineChars="200"/>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（三）最高限价：</w:t>
      </w:r>
      <w:bookmarkStart w:id="3" w:name="EB6c1f3d39c6914ae1bada8ccaa777b37a"/>
      <w:r>
        <w:rPr>
          <w:rFonts w:hint="eastAsia" w:asciiTheme="minorEastAsia" w:hAnsiTheme="minorEastAsia" w:eastAsiaTheme="minorEastAsia" w:cstheme="minorEastAsia"/>
          <w:color w:val="auto"/>
          <w:sz w:val="24"/>
          <w:lang w:val="en-US" w:eastAsia="zh-CN"/>
        </w:rPr>
        <w:t>1120</w:t>
      </w:r>
      <w:r>
        <w:rPr>
          <w:rFonts w:hint="eastAsia" w:asciiTheme="minorEastAsia" w:hAnsiTheme="minorEastAsia" w:eastAsiaTheme="minorEastAsia" w:cstheme="minorEastAsia"/>
          <w:color w:val="000000" w:themeColor="text1"/>
          <w:sz w:val="24"/>
          <w14:textFill>
            <w14:solidFill>
              <w14:schemeClr w14:val="tx1"/>
            </w14:solidFill>
          </w14:textFill>
        </w:rPr>
        <w:t>万元</w:t>
      </w:r>
      <w:bookmarkEnd w:id="3"/>
    </w:p>
    <w:p>
      <w:pPr>
        <w:widowControl w:val="0"/>
        <w:spacing w:line="360" w:lineRule="auto"/>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4"/>
          <w14:textFill>
            <w14:solidFill>
              <w14:schemeClr w14:val="tx1"/>
            </w14:solidFill>
          </w14:textFill>
        </w:rPr>
        <w:t>）采购需求：</w:t>
      </w:r>
      <w:bookmarkStart w:id="4" w:name="EB08d11d6981c74f1abf64ad122e32ebee"/>
      <w:r>
        <w:rPr>
          <w:rFonts w:hint="eastAsia" w:asciiTheme="minorEastAsia" w:hAnsiTheme="minorEastAsia" w:eastAsiaTheme="minorEastAsia" w:cstheme="minorEastAsia"/>
          <w:color w:val="000000" w:themeColor="text1"/>
          <w:sz w:val="24"/>
          <w14:textFill>
            <w14:solidFill>
              <w14:schemeClr w14:val="tx1"/>
            </w14:solidFill>
          </w14:textFill>
        </w:rPr>
        <w:t>本次采购内容为新型商品混凝土绿色建材生产设备采购，包括</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180</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m</w:t>
      </w:r>
      <w:r>
        <w:rPr>
          <w:rFonts w:hint="eastAsia" w:asciiTheme="minorEastAsia" w:hAnsiTheme="minorEastAsia" w:eastAsiaTheme="minorEastAsia" w:cstheme="minorEastAsia"/>
          <w:b/>
          <w:bCs/>
          <w:color w:val="000000" w:themeColor="text1"/>
          <w:szCs w:val="24"/>
          <w:u w:val="single"/>
          <w:vertAlign w:val="superscript"/>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u w:val="single"/>
          <w14:textFill>
            <w14:solidFill>
              <w14:schemeClr w14:val="tx1"/>
            </w14:solidFill>
          </w14:textFill>
        </w:rPr>
        <w:t>混凝土搅拌站</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2台套、</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1辆</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56</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米四桥混凝土泵车，1辆</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≥49米三桥混凝土泵车</w:t>
      </w:r>
      <w:r>
        <w:rPr>
          <w:rFonts w:hint="eastAsia" w:asciiTheme="minorEastAsia" w:hAnsiTheme="minorEastAsia" w:eastAsiaTheme="minorEastAsia" w:cstheme="minorEastAsia"/>
          <w:color w:val="000000" w:themeColor="text1"/>
          <w:kern w:val="0"/>
          <w:sz w:val="24"/>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10辆四桥10方混凝土法规搅拌车</w:t>
      </w:r>
      <w:r>
        <w:rPr>
          <w:rFonts w:hint="eastAsia" w:asciiTheme="minorEastAsia" w:hAnsiTheme="minorEastAsia" w:eastAsiaTheme="minorEastAsia" w:cstheme="minorEastAsia"/>
          <w:color w:val="000000" w:themeColor="text1"/>
          <w:kern w:val="0"/>
          <w:sz w:val="24"/>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2台5T装载机、1台215挖机</w:t>
      </w:r>
      <w:r>
        <w:rPr>
          <w:rFonts w:hint="eastAsia" w:asciiTheme="minorEastAsia" w:hAnsiTheme="minorEastAsia" w:eastAsiaTheme="minorEastAsia" w:cstheme="minorEastAsia"/>
          <w:color w:val="000000" w:themeColor="text1"/>
          <w:sz w:val="24"/>
          <w14:textFill>
            <w14:solidFill>
              <w14:schemeClr w14:val="tx1"/>
            </w14:solidFill>
          </w14:textFill>
        </w:rPr>
        <w:t>等设备，</w:t>
      </w:r>
      <w:r>
        <w:rPr>
          <w:rFonts w:hint="eastAsia" w:asciiTheme="minorEastAsia" w:hAnsiTheme="minorEastAsia" w:eastAsiaTheme="minorEastAsia" w:cstheme="minorEastAsia"/>
          <w:b/>
          <w:bCs/>
          <w:color w:val="000000" w:themeColor="text1"/>
          <w:sz w:val="24"/>
          <w14:textFill>
            <w14:solidFill>
              <w14:schemeClr w14:val="tx1"/>
            </w14:solidFill>
          </w14:textFill>
        </w:rPr>
        <w:t>详细</w:t>
      </w:r>
      <w:r>
        <w:rPr>
          <w:rFonts w:hint="eastAsia" w:asciiTheme="minorEastAsia" w:hAnsiTheme="minorEastAsia" w:eastAsiaTheme="minorEastAsia" w:cstheme="minorEastAsia"/>
          <w:b/>
          <w:bCs/>
          <w:color w:val="000000" w:themeColor="text1"/>
          <w:sz w:val="24"/>
          <w:lang w:val="en-US" w:eastAsia="zh-CN"/>
          <w14:textFill>
            <w14:solidFill>
              <w14:schemeClr w14:val="tx1"/>
            </w14:solidFill>
          </w14:textFill>
        </w:rPr>
        <w:t>内容见</w:t>
      </w:r>
      <w:r>
        <w:rPr>
          <w:rFonts w:hint="eastAsia" w:asciiTheme="minorEastAsia" w:hAnsiTheme="minorEastAsia" w:eastAsiaTheme="minorEastAsia" w:cstheme="minorEastAsia"/>
          <w:b/>
          <w:bCs/>
          <w:color w:val="000000" w:themeColor="text1"/>
          <w:sz w:val="24"/>
          <w14:textFill>
            <w14:solidFill>
              <w14:schemeClr w14:val="tx1"/>
            </w14:solidFill>
          </w14:textFill>
        </w:rPr>
        <w:t>第四部分采购需求</w:t>
      </w:r>
      <w:r>
        <w:rPr>
          <w:rFonts w:hint="eastAsia" w:asciiTheme="minorEastAsia" w:hAnsiTheme="minorEastAsia" w:eastAsiaTheme="minorEastAsia" w:cstheme="minorEastAsia"/>
          <w:color w:val="000000" w:themeColor="text1"/>
          <w:sz w:val="24"/>
          <w14:textFill>
            <w14:solidFill>
              <w14:schemeClr w14:val="tx1"/>
            </w14:solidFill>
          </w14:textFill>
        </w:rPr>
        <w:t>。</w:t>
      </w:r>
      <w:bookmarkEnd w:id="4"/>
    </w:p>
    <w:p>
      <w:pPr>
        <w:widowControl w:val="0"/>
        <w:spacing w:line="52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sz w:val="24"/>
          <w14:textFill>
            <w14:solidFill>
              <w14:schemeClr w14:val="tx1"/>
            </w14:solidFill>
          </w14:textFill>
        </w:rPr>
        <w:t>）合同履行期限：</w:t>
      </w:r>
      <w:bookmarkStart w:id="5" w:name="EBb920db3eebc44049b2d27a5203bb6f6d"/>
      <w:r>
        <w:rPr>
          <w:rFonts w:hint="eastAsia" w:asciiTheme="minorEastAsia" w:hAnsiTheme="minorEastAsia" w:eastAsiaTheme="minorEastAsia" w:cstheme="minorEastAsia"/>
          <w:color w:val="000000" w:themeColor="text1"/>
          <w:kern w:val="0"/>
          <w:sz w:val="24"/>
          <w14:textFill>
            <w14:solidFill>
              <w14:schemeClr w14:val="tx1"/>
            </w14:solidFill>
          </w14:textFill>
        </w:rPr>
        <w:t>合同签订生效后</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30</w:t>
      </w:r>
      <w:r>
        <w:rPr>
          <w:rFonts w:hint="eastAsia" w:asciiTheme="minorEastAsia" w:hAnsiTheme="minorEastAsia" w:eastAsiaTheme="minorEastAsia" w:cstheme="minorEastAsia"/>
          <w:color w:val="000000" w:themeColor="text1"/>
          <w:kern w:val="0"/>
          <w:sz w:val="24"/>
          <w14:textFill>
            <w14:solidFill>
              <w14:schemeClr w14:val="tx1"/>
            </w14:solidFill>
          </w14:textFill>
        </w:rPr>
        <w:t>个日历天内完成供货，开始供货并在招标人发出安装通知指令后</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kern w:val="0"/>
          <w:sz w:val="24"/>
          <w14:textFill>
            <w14:solidFill>
              <w14:schemeClr w14:val="tx1"/>
            </w14:solidFill>
          </w14:textFill>
        </w:rPr>
        <w:t>个日历天内完成安装调试达到生产条件</w:t>
      </w:r>
      <w:r>
        <w:rPr>
          <w:rFonts w:hint="eastAsia" w:asciiTheme="minorEastAsia" w:hAnsiTheme="minorEastAsia" w:eastAsiaTheme="minorEastAsia" w:cstheme="minorEastAsia"/>
          <w:color w:val="000000" w:themeColor="text1"/>
          <w:kern w:val="0"/>
          <w:sz w:val="24"/>
          <w:lang w:val="en-US" w:eastAsia="zh-CN"/>
          <w14:textFill>
            <w14:solidFill>
              <w14:schemeClr w14:val="tx1"/>
            </w14:solidFill>
          </w14:textFill>
        </w:rPr>
        <w:t>(预计2024年3月20日开始供货，</w:t>
      </w:r>
      <w:r>
        <w:rPr>
          <w:rFonts w:hint="eastAsia" w:ascii="宋体" w:hAnsi="宋体" w:eastAsia="宋体" w:cs="宋体"/>
          <w:color w:val="000000" w:themeColor="text1"/>
          <w:kern w:val="0"/>
          <w:szCs w:val="21"/>
          <w14:textFill>
            <w14:solidFill>
              <w14:schemeClr w14:val="tx1"/>
            </w14:solidFill>
          </w14:textFill>
        </w:rPr>
        <w:t>具体供货开始和结束期限以项目实际需求为准</w:t>
      </w:r>
      <w:r>
        <w:rPr>
          <w:rFonts w:hint="eastAsia" w:asciiTheme="minorEastAsia" w:hAnsiTheme="minorEastAsia" w:eastAsiaTheme="minorEastAsia" w:cstheme="minorEastAsia"/>
          <w:color w:val="000000" w:themeColor="text1"/>
          <w:kern w:val="0"/>
          <w:sz w:val="24"/>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w:t>
      </w:r>
    </w:p>
    <w:bookmarkEnd w:id="5"/>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4"/>
          <w14:textFill>
            <w14:solidFill>
              <w14:schemeClr w14:val="tx1"/>
            </w14:solidFill>
          </w14:textFill>
        </w:rPr>
        <w:t>）本项目</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不</w:t>
      </w:r>
      <w:r>
        <w:rPr>
          <w:rFonts w:hint="eastAsia" w:asciiTheme="minorEastAsia" w:hAnsiTheme="minorEastAsia" w:eastAsiaTheme="minorEastAsia" w:cstheme="minorEastAsia"/>
          <w:color w:val="000000" w:themeColor="text1"/>
          <w:sz w:val="24"/>
          <w14:textFill>
            <w14:solidFill>
              <w14:schemeClr w14:val="tx1"/>
            </w14:solidFill>
          </w14:textFill>
        </w:rPr>
        <w:t>接受联合体投标。</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二、申请人的资格要求</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bookmarkStart w:id="6" w:name="EBf3702a635df64629963a2f5a859d1529"/>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（一）法人或者其他组织的营业执照、税务登记证等证明文件（“三证合一”的提供“营业执照”）；</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（二）具有独立承担民事责任的能力；</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（三）具有良好的商业信誉和健全的财务会计制度；</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（四）具有履行合同所必需的设备和专业技术能力；</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（五）有依法缴纳税收和社会保障资金的良好记录；</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）法律、行政法规规定的其他条件。</w:t>
      </w:r>
    </w:p>
    <w:bookmarkEnd w:id="6"/>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三、评标办法</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本次招标评标标准在同等条件下以价格低者优先</w:t>
      </w:r>
      <w:r>
        <w:rPr>
          <w:rFonts w:hint="eastAsia" w:ascii="宋体" w:hAnsi="宋体" w:cs="宋体"/>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具体细则详见招标文件“资格审查及评标办</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法</w:t>
      </w:r>
      <w:r>
        <w:rPr>
          <w:rFonts w:hint="eastAsia" w:asciiTheme="minorEastAsia" w:hAnsiTheme="minorEastAsia" w:eastAsiaTheme="minorEastAsia" w:cstheme="minorEastAsia"/>
          <w:color w:val="000000" w:themeColor="text1"/>
          <w:sz w:val="24"/>
          <w14:textFill>
            <w14:solidFill>
              <w14:schemeClr w14:val="tx1"/>
            </w14:solidFill>
          </w14:textFill>
        </w:rPr>
        <w:t>”内容。</w:t>
      </w:r>
    </w:p>
    <w:p>
      <w:pPr>
        <w:widowControl w:val="0"/>
        <w:spacing w:line="500" w:lineRule="exact"/>
        <w:ind w:firstLine="480" w:firstLineChars="200"/>
        <w:rPr>
          <w:rFonts w:hint="default" w:asciiTheme="minorEastAsia" w:hAnsiTheme="minorEastAsia" w:eastAsiaTheme="minorEastAsia" w:cstheme="minorEastAsia"/>
          <w:b/>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四、获取招标文件</w:t>
      </w:r>
      <w:bookmarkStart w:id="7" w:name="EB4b99a2a12bee44cab1d0a967f6d7afb7"/>
      <w:bookmarkEnd w:id="7"/>
      <w:bookmarkStart w:id="8" w:name="EBe6eea9ed51eb4a798c6f8cd9962216bb"/>
      <w:bookmarkEnd w:id="8"/>
      <w:r>
        <w:rPr>
          <w:rFonts w:hint="eastAsia" w:asciiTheme="minorEastAsia" w:hAnsiTheme="minorEastAsia" w:eastAsiaTheme="minorEastAsia" w:cstheme="minorEastAsia"/>
          <w:b/>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投标方式和时间</w:t>
      </w:r>
    </w:p>
    <w:p>
      <w:pPr>
        <w:widowControl/>
        <w:shd w:val="clear" w:color="auto" w:fill="FFFFFF"/>
        <w:spacing w:line="360" w:lineRule="auto"/>
        <w:ind w:firstLine="480"/>
        <w:contextualSpacing/>
        <w:rPr>
          <w:rFonts w:hint="default" w:ascii="宋体" w:hAnsi="宋体" w:eastAsia="宋体" w:cs="宋体"/>
          <w:color w:val="000000" w:themeColor="text1"/>
          <w:kern w:val="0"/>
          <w:sz w:val="24"/>
          <w:szCs w:val="24"/>
          <w:u w:val="none"/>
          <w:lang w:val="en-US" w:eastAsia="zh-CN"/>
          <w14:textFill>
            <w14:solidFill>
              <w14:schemeClr w14:val="tx1"/>
            </w14:solidFill>
          </w14:textFill>
        </w:rPr>
      </w:pPr>
      <w:bookmarkStart w:id="9" w:name="EB0c44ff4da61f4af989d119fe214be450"/>
      <w:r>
        <w:rPr>
          <w:rFonts w:hint="eastAsia" w:ascii="宋体" w:hAnsi="宋体" w:cs="宋体"/>
          <w:color w:val="000000" w:themeColor="text1"/>
          <w:kern w:val="0"/>
          <w:sz w:val="24"/>
          <w:szCs w:val="24"/>
          <w:u w:val="none"/>
          <w:lang w:eastAsia="zh-CN"/>
          <w14:textFill>
            <w14:solidFill>
              <w14:schemeClr w14:val="tx1"/>
            </w14:solidFill>
          </w14:textFill>
        </w:rPr>
        <w:t>（</w:t>
      </w:r>
      <w:r>
        <w:rPr>
          <w:rFonts w:hint="eastAsia" w:ascii="宋体" w:hAnsi="宋体" w:cs="宋体"/>
          <w:color w:val="000000" w:themeColor="text1"/>
          <w:kern w:val="0"/>
          <w:sz w:val="24"/>
          <w:szCs w:val="24"/>
          <w:u w:val="none"/>
          <w:lang w:val="en-US" w:eastAsia="zh-CN"/>
          <w14:textFill>
            <w14:solidFill>
              <w14:schemeClr w14:val="tx1"/>
            </w14:solidFill>
          </w14:textFill>
        </w:rPr>
        <w:t>一）获取招标文件的网址：http://www.jswcc.com/。</w:t>
      </w:r>
    </w:p>
    <w:p>
      <w:pPr>
        <w:widowControl/>
        <w:shd w:val="clear" w:color="auto" w:fill="FFFFFF"/>
        <w:spacing w:line="360" w:lineRule="auto"/>
        <w:ind w:firstLine="480"/>
        <w:contextualSpacing/>
        <w:rPr>
          <w:rFonts w:hint="eastAsia" w:ascii="宋体" w:hAnsi="宋体" w:cs="宋体"/>
          <w:color w:val="000000" w:themeColor="text1"/>
          <w:kern w:val="0"/>
          <w:sz w:val="24"/>
          <w:szCs w:val="24"/>
          <w:u w:val="none"/>
          <w:lang w:eastAsia="zh-CN"/>
          <w14:textFill>
            <w14:solidFill>
              <w14:schemeClr w14:val="tx1"/>
            </w14:solidFill>
          </w14:textFill>
        </w:rPr>
      </w:pPr>
      <w:r>
        <w:rPr>
          <w:rFonts w:hint="eastAsia" w:ascii="宋体" w:hAnsi="宋体" w:cs="宋体"/>
          <w:color w:val="000000" w:themeColor="text1"/>
          <w:kern w:val="0"/>
          <w:sz w:val="24"/>
          <w:szCs w:val="24"/>
          <w:u w:val="none"/>
          <w:lang w:eastAsia="zh-CN"/>
          <w14:textFill>
            <w14:solidFill>
              <w14:schemeClr w14:val="tx1"/>
            </w14:solidFill>
          </w14:textFill>
        </w:rPr>
        <w:t>（</w:t>
      </w:r>
      <w:r>
        <w:rPr>
          <w:rFonts w:hint="eastAsia" w:ascii="宋体" w:hAnsi="宋体" w:cs="宋体"/>
          <w:color w:val="000000" w:themeColor="text1"/>
          <w:kern w:val="0"/>
          <w:sz w:val="24"/>
          <w:szCs w:val="24"/>
          <w:u w:val="none"/>
          <w:lang w:val="en-US" w:eastAsia="zh-CN"/>
          <w14:textFill>
            <w14:solidFill>
              <w14:schemeClr w14:val="tx1"/>
            </w14:solidFill>
          </w14:textFill>
        </w:rPr>
        <w:t>二）</w:t>
      </w:r>
      <w:r>
        <w:rPr>
          <w:rFonts w:hint="eastAsia" w:ascii="宋体" w:hAnsi="宋体" w:eastAsia="宋体" w:cs="宋体"/>
          <w:color w:val="000000" w:themeColor="text1"/>
          <w:kern w:val="0"/>
          <w:sz w:val="24"/>
          <w:szCs w:val="24"/>
          <w:u w:val="none"/>
          <w14:textFill>
            <w14:solidFill>
              <w14:schemeClr w14:val="tx1"/>
            </w14:solidFill>
          </w14:textFill>
        </w:rPr>
        <w:t>本次投标采取</w:t>
      </w:r>
      <w:r>
        <w:rPr>
          <w:rFonts w:hint="eastAsia" w:ascii="宋体" w:hAnsi="宋体" w:cs="宋体"/>
          <w:color w:val="000000" w:themeColor="text1"/>
          <w:kern w:val="0"/>
          <w:sz w:val="24"/>
          <w:szCs w:val="24"/>
          <w:u w:val="none"/>
          <w:lang w:val="en-US" w:eastAsia="zh-CN"/>
          <w14:textFill>
            <w14:solidFill>
              <w14:schemeClr w14:val="tx1"/>
            </w14:solidFill>
          </w14:textFill>
        </w:rPr>
        <w:t>现场纸质投标或</w:t>
      </w:r>
      <w:r>
        <w:rPr>
          <w:rFonts w:hint="eastAsia" w:ascii="宋体" w:hAnsi="宋体" w:eastAsia="宋体" w:cs="宋体"/>
          <w:color w:val="000000" w:themeColor="text1"/>
          <w:kern w:val="0"/>
          <w:sz w:val="24"/>
          <w:szCs w:val="24"/>
          <w:u w:val="none"/>
          <w14:textFill>
            <w14:solidFill>
              <w14:schemeClr w14:val="tx1"/>
            </w14:solidFill>
          </w14:textFill>
        </w:rPr>
        <w:t>网上投标方式</w:t>
      </w:r>
      <w:r>
        <w:rPr>
          <w:rFonts w:hint="eastAsia" w:ascii="宋体" w:hAnsi="宋体" w:cs="宋体"/>
          <w:color w:val="000000" w:themeColor="text1"/>
          <w:kern w:val="0"/>
          <w:sz w:val="24"/>
          <w:szCs w:val="24"/>
          <w:u w:val="none"/>
          <w:lang w:eastAsia="zh-CN"/>
          <w14:textFill>
            <w14:solidFill>
              <w14:schemeClr w14:val="tx1"/>
            </w14:solidFill>
          </w14:textFill>
        </w:rPr>
        <w:t>（</w:t>
      </w:r>
      <w:r>
        <w:rPr>
          <w:rFonts w:hint="eastAsia" w:ascii="宋体" w:hAnsi="宋体" w:cs="宋体"/>
          <w:color w:val="000000" w:themeColor="text1"/>
          <w:kern w:val="0"/>
          <w:sz w:val="24"/>
          <w:szCs w:val="24"/>
          <w:u w:val="none"/>
          <w:lang w:val="en-US" w:eastAsia="zh-CN"/>
          <w14:textFill>
            <w14:solidFill>
              <w14:schemeClr w14:val="tx1"/>
            </w14:solidFill>
          </w14:textFill>
        </w:rPr>
        <w:t>由投标人选择</w:t>
      </w:r>
      <w:r>
        <w:rPr>
          <w:rFonts w:hint="eastAsia" w:ascii="宋体" w:hAnsi="宋体" w:cs="宋体"/>
          <w:color w:val="000000" w:themeColor="text1"/>
          <w:kern w:val="0"/>
          <w:sz w:val="24"/>
          <w:szCs w:val="24"/>
          <w:u w:val="none"/>
          <w:lang w:eastAsia="zh-CN"/>
          <w14:textFill>
            <w14:solidFill>
              <w14:schemeClr w14:val="tx1"/>
            </w14:solidFill>
          </w14:textFill>
        </w:rPr>
        <w:t>）</w:t>
      </w:r>
    </w:p>
    <w:p>
      <w:pPr>
        <w:widowControl/>
        <w:shd w:val="clear" w:color="auto" w:fill="FFFFFF"/>
        <w:spacing w:line="360" w:lineRule="auto"/>
        <w:ind w:firstLine="480"/>
        <w:contextualSpacing/>
        <w:rPr>
          <w:rFonts w:hint="eastAsia" w:ascii="宋体" w:hAnsi="宋体" w:cs="宋体"/>
          <w:color w:val="000000" w:themeColor="text1"/>
          <w:kern w:val="0"/>
          <w:sz w:val="24"/>
          <w:szCs w:val="24"/>
          <w:u w:val="none"/>
          <w:lang w:val="en-US" w:eastAsia="zh-CN"/>
          <w14:textFill>
            <w14:solidFill>
              <w14:schemeClr w14:val="tx1"/>
            </w14:solidFill>
          </w14:textFill>
        </w:rPr>
      </w:pPr>
      <w:r>
        <w:rPr>
          <w:rFonts w:hint="eastAsia" w:ascii="宋体" w:hAnsi="宋体" w:cs="宋体"/>
          <w:color w:val="000000" w:themeColor="text1"/>
          <w:kern w:val="0"/>
          <w:sz w:val="24"/>
          <w:szCs w:val="24"/>
          <w:u w:val="none"/>
          <w:lang w:val="en-US" w:eastAsia="zh-CN"/>
          <w14:textFill>
            <w14:solidFill>
              <w14:schemeClr w14:val="tx1"/>
            </w14:solidFill>
          </w14:textFill>
        </w:rPr>
        <w:t>1、网上投标</w:t>
      </w:r>
    </w:p>
    <w:p>
      <w:pPr>
        <w:widowControl/>
        <w:shd w:val="clear" w:color="auto" w:fill="FFFFFF"/>
        <w:spacing w:line="360" w:lineRule="auto"/>
        <w:ind w:firstLine="480"/>
        <w:contextualSpacing/>
        <w:rPr>
          <w:rFonts w:hint="default" w:ascii="Times New Roman" w:hAnsi="Times New Roman" w:eastAsia="宋体" w:cs="Times New Roman"/>
          <w:color w:val="000000" w:themeColor="text1"/>
          <w:kern w:val="0"/>
          <w:sz w:val="24"/>
          <w:szCs w:val="24"/>
          <w:u w:val="none"/>
          <w14:textFill>
            <w14:solidFill>
              <w14:schemeClr w14:val="tx1"/>
            </w14:solidFill>
          </w14:textFill>
        </w:rPr>
      </w:pPr>
      <w:r>
        <w:rPr>
          <w:rFonts w:hint="default" w:ascii="Times New Roman" w:hAnsi="Times New Roman" w:eastAsia="宋体" w:cs="Times New Roman"/>
          <w:color w:val="000000" w:themeColor="text1"/>
          <w:kern w:val="0"/>
          <w:sz w:val="24"/>
          <w:szCs w:val="24"/>
          <w:u w:val="none"/>
          <w14:textFill>
            <w14:solidFill>
              <w14:schemeClr w14:val="tx1"/>
            </w14:solidFill>
          </w14:textFill>
        </w:rPr>
        <w:t>投标人将投标文件加盖公章扫描上传江苏水建集中采购平台，招标方于</w:t>
      </w:r>
      <w:r>
        <w:rPr>
          <w:rFonts w:hint="eastAsia" w:cs="Times New Roman"/>
          <w:color w:val="000000" w:themeColor="text1"/>
          <w:kern w:val="0"/>
          <w:sz w:val="24"/>
          <w:szCs w:val="24"/>
          <w:u w:val="none"/>
          <w:lang w:val="en-US" w:eastAsia="zh-CN"/>
          <w14:textFill>
            <w14:solidFill>
              <w14:schemeClr w14:val="tx1"/>
            </w14:solidFill>
          </w14:textFill>
        </w:rPr>
        <w:t>北京时间</w:t>
      </w:r>
      <w:r>
        <w:rPr>
          <w:rFonts w:hint="default" w:ascii="Times New Roman" w:hAnsi="Times New Roman" w:eastAsia="宋体" w:cs="Times New Roman"/>
          <w:color w:val="000000" w:themeColor="text1"/>
          <w:kern w:val="0"/>
          <w:sz w:val="24"/>
          <w:szCs w:val="24"/>
          <w:u w:val="none"/>
          <w14:textFill>
            <w14:solidFill>
              <w14:schemeClr w14:val="tx1"/>
            </w14:solidFill>
          </w14:textFill>
        </w:rPr>
        <w:t>202</w:t>
      </w:r>
      <w:r>
        <w:rPr>
          <w:rFonts w:hint="default" w:ascii="Times New Roman" w:hAnsi="Times New Roman" w:cs="Times New Roman"/>
          <w:color w:val="000000" w:themeColor="text1"/>
          <w:kern w:val="0"/>
          <w:sz w:val="24"/>
          <w:szCs w:val="24"/>
          <w:u w:val="none"/>
          <w:lang w:val="en-US" w:eastAsia="zh-CN"/>
          <w14:textFill>
            <w14:solidFill>
              <w14:schemeClr w14:val="tx1"/>
            </w14:solidFill>
          </w14:textFill>
        </w:rPr>
        <w:t>4</w:t>
      </w:r>
      <w:r>
        <w:rPr>
          <w:rFonts w:hint="default" w:ascii="Times New Roman" w:hAnsi="Times New Roman" w:eastAsia="宋体" w:cs="Times New Roman"/>
          <w:color w:val="000000" w:themeColor="text1"/>
          <w:kern w:val="0"/>
          <w:sz w:val="24"/>
          <w:szCs w:val="24"/>
          <w:u w:val="none"/>
          <w14:textFill>
            <w14:solidFill>
              <w14:schemeClr w14:val="tx1"/>
            </w14:solidFill>
          </w14:textFill>
        </w:rPr>
        <w:t>年</w:t>
      </w:r>
      <w:r>
        <w:rPr>
          <w:rFonts w:hint="default" w:ascii="Times New Roman" w:hAnsi="Times New Roman" w:cs="Times New Roman"/>
          <w:color w:val="000000" w:themeColor="text1"/>
          <w:kern w:val="0"/>
          <w:sz w:val="24"/>
          <w:szCs w:val="24"/>
          <w:u w:val="none"/>
          <w:lang w:val="en-US" w:eastAsia="zh-CN"/>
          <w14:textFill>
            <w14:solidFill>
              <w14:schemeClr w14:val="tx1"/>
            </w14:solidFill>
          </w14:textFill>
        </w:rPr>
        <w:t>2</w:t>
      </w:r>
      <w:r>
        <w:rPr>
          <w:rFonts w:hint="default" w:ascii="Times New Roman" w:hAnsi="Times New Roman" w:eastAsia="宋体" w:cs="Times New Roman"/>
          <w:color w:val="000000" w:themeColor="text1"/>
          <w:kern w:val="0"/>
          <w:sz w:val="24"/>
          <w:szCs w:val="24"/>
          <w:u w:val="none"/>
          <w14:textFill>
            <w14:solidFill>
              <w14:schemeClr w14:val="tx1"/>
            </w14:solidFill>
          </w14:textFill>
        </w:rPr>
        <w:t>月</w:t>
      </w:r>
      <w:r>
        <w:rPr>
          <w:rFonts w:hint="default" w:ascii="Times New Roman" w:hAnsi="Times New Roman" w:cs="Times New Roman"/>
          <w:color w:val="000000" w:themeColor="text1"/>
          <w:kern w:val="0"/>
          <w:sz w:val="24"/>
          <w:szCs w:val="24"/>
          <w:u w:val="none"/>
          <w:lang w:val="en-US" w:eastAsia="zh-CN"/>
          <w14:textFill>
            <w14:solidFill>
              <w14:schemeClr w14:val="tx1"/>
            </w14:solidFill>
          </w14:textFill>
        </w:rPr>
        <w:t>7</w:t>
      </w:r>
      <w:r>
        <w:rPr>
          <w:rFonts w:hint="default" w:ascii="Times New Roman" w:hAnsi="Times New Roman" w:eastAsia="宋体" w:cs="Times New Roman"/>
          <w:color w:val="000000" w:themeColor="text1"/>
          <w:kern w:val="0"/>
          <w:sz w:val="24"/>
          <w:szCs w:val="24"/>
          <w:u w:val="none"/>
          <w14:textFill>
            <w14:solidFill>
              <w14:schemeClr w14:val="tx1"/>
            </w14:solidFill>
          </w14:textFill>
        </w:rPr>
        <w:t>日上午9:00与投标单位联系投标文件压缩包密码，在江苏省水利建设工程有限公司公司五楼会议室（扬州市长征西路14号）现场开标，投标单位与朱丽13218960628联系获取江苏水建集中采购平台操作手册。</w:t>
      </w:r>
    </w:p>
    <w:p>
      <w:pPr>
        <w:widowControl/>
        <w:numPr>
          <w:ilvl w:val="0"/>
          <w:numId w:val="1"/>
        </w:numPr>
        <w:shd w:val="clear" w:color="auto" w:fill="FFFFFF"/>
        <w:spacing w:line="360" w:lineRule="auto"/>
        <w:ind w:firstLine="480"/>
        <w:contextualSpacing/>
        <w:rPr>
          <w:rFonts w:hint="default" w:ascii="Times New Roman" w:hAnsi="Times New Roman" w:eastAsia="宋体" w:cs="Times New Roman"/>
          <w:color w:val="000000" w:themeColor="text1"/>
          <w:kern w:val="0"/>
          <w:szCs w:val="24"/>
          <w:u w:val="single"/>
          <w14:textFill>
            <w14:solidFill>
              <w14:schemeClr w14:val="tx1"/>
            </w14:solidFill>
          </w14:textFill>
        </w:rPr>
      </w:pPr>
      <w:r>
        <w:rPr>
          <w:rFonts w:hint="default" w:ascii="Times New Roman" w:hAnsi="Times New Roman" w:cs="Times New Roman"/>
          <w:color w:val="000000" w:themeColor="text1"/>
          <w:kern w:val="0"/>
          <w:sz w:val="24"/>
          <w:szCs w:val="24"/>
          <w:u w:val="none"/>
          <w:lang w:val="en-US" w:eastAsia="zh-CN"/>
          <w14:textFill>
            <w14:solidFill>
              <w14:schemeClr w14:val="tx1"/>
            </w14:solidFill>
          </w14:textFill>
        </w:rPr>
        <w:t>现场纸质投标</w:t>
      </w:r>
    </w:p>
    <w:p>
      <w:pPr>
        <w:widowControl/>
        <w:numPr>
          <w:ilvl w:val="-1"/>
          <w:numId w:val="0"/>
        </w:numPr>
        <w:shd w:val="clear" w:color="auto" w:fill="FFFFFF"/>
        <w:spacing w:line="360" w:lineRule="auto"/>
        <w:ind w:firstLine="0" w:firstLineChars="0"/>
        <w:contextualSpacing/>
        <w:rPr>
          <w:rFonts w:hint="default" w:ascii="Times New Roman" w:hAnsi="Times New Roman" w:eastAsia="宋体" w:cs="Times New Roman"/>
          <w:color w:val="000000" w:themeColor="text1"/>
          <w:kern w:val="0"/>
          <w:szCs w:val="24"/>
          <w:u w:val="single"/>
          <w14:textFill>
            <w14:solidFill>
              <w14:schemeClr w14:val="tx1"/>
            </w14:solidFill>
          </w14:textFill>
        </w:rPr>
      </w:pPr>
      <w:r>
        <w:rPr>
          <w:rFonts w:hint="default" w:ascii="Times New Roman" w:hAnsi="Times New Roman" w:cs="Times New Roman"/>
          <w:color w:val="000000" w:themeColor="text1"/>
          <w:kern w:val="0"/>
          <w:sz w:val="24"/>
          <w:szCs w:val="24"/>
          <w:u w:val="none"/>
          <w:lang w:val="en-US" w:eastAsia="zh-CN"/>
          <w14:textFill>
            <w14:solidFill>
              <w14:schemeClr w14:val="tx1"/>
            </w14:solidFill>
          </w14:textFill>
        </w:rPr>
        <w:t xml:space="preserve">    投标人</w:t>
      </w:r>
      <w:r>
        <w:rPr>
          <w:rFonts w:hint="default" w:ascii="Times New Roman" w:hAnsi="Times New Roman" w:cs="Times New Roman" w:eastAsiaTheme="minorEastAsia"/>
          <w:strike w:val="0"/>
          <w:color w:val="000000" w:themeColor="text1"/>
          <w:sz w:val="24"/>
          <w:szCs w:val="24"/>
          <w14:textFill>
            <w14:solidFill>
              <w14:schemeClr w14:val="tx1"/>
            </w14:solidFill>
          </w14:textFill>
        </w:rPr>
        <w:t>提交纸质正本1份</w:t>
      </w:r>
      <w:r>
        <w:rPr>
          <w:rFonts w:hint="default" w:ascii="Times New Roman" w:hAnsi="Times New Roman" w:cs="Times New Roman" w:eastAsiaTheme="minorEastAsia"/>
          <w:strike w:val="0"/>
          <w:color w:val="000000" w:themeColor="text1"/>
          <w:sz w:val="24"/>
          <w:szCs w:val="24"/>
          <w:lang w:eastAsia="zh-CN"/>
          <w14:textFill>
            <w14:solidFill>
              <w14:schemeClr w14:val="tx1"/>
            </w14:solidFill>
          </w14:textFill>
        </w:rPr>
        <w:t>、</w:t>
      </w:r>
      <w:r>
        <w:rPr>
          <w:rFonts w:hint="default" w:ascii="Times New Roman" w:hAnsi="Times New Roman" w:cs="Times New Roman" w:eastAsiaTheme="minorEastAsia"/>
          <w:strike w:val="0"/>
          <w:color w:val="000000" w:themeColor="text1"/>
          <w:sz w:val="24"/>
          <w:szCs w:val="24"/>
          <w:lang w:val="en-US" w:eastAsia="zh-CN"/>
          <w14:textFill>
            <w14:solidFill>
              <w14:schemeClr w14:val="tx1"/>
            </w14:solidFill>
          </w14:textFill>
        </w:rPr>
        <w:t>副本三份</w:t>
      </w:r>
      <w:r>
        <w:rPr>
          <w:rFonts w:hint="default" w:ascii="Times New Roman" w:hAnsi="Times New Roman" w:cs="Times New Roman" w:eastAsiaTheme="minorEastAsia"/>
          <w:strike w:val="0"/>
          <w:color w:val="000000" w:themeColor="text1"/>
          <w:sz w:val="24"/>
          <w:szCs w:val="24"/>
          <w14:textFill>
            <w14:solidFill>
              <w14:schemeClr w14:val="tx1"/>
            </w14:solidFill>
          </w14:textFill>
        </w:rPr>
        <w:t>。</w:t>
      </w:r>
    </w:p>
    <w:p>
      <w:pPr>
        <w:widowControl w:val="0"/>
        <w:spacing w:line="500" w:lineRule="exact"/>
        <w:ind w:firstLine="480" w:firstLineChars="200"/>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lang w:eastAsia="zh-CN"/>
          <w14:textFill>
            <w14:solidFill>
              <w14:schemeClr w14:val="tx1"/>
            </w14:solidFill>
          </w14:textFill>
        </w:rPr>
        <w:t>（</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三）</w:t>
      </w:r>
      <w:r>
        <w:rPr>
          <w:rFonts w:hint="default" w:ascii="Times New Roman" w:hAnsi="Times New Roman" w:cs="Times New Roman" w:eastAsiaTheme="minorEastAsia"/>
          <w:color w:val="000000" w:themeColor="text1"/>
          <w:sz w:val="24"/>
          <w14:textFill>
            <w14:solidFill>
              <w14:schemeClr w14:val="tx1"/>
            </w14:solidFill>
          </w14:textFill>
        </w:rPr>
        <w:t>投标文件</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包括但不限于本公告第六部分全部内容</w:t>
      </w:r>
      <w:r>
        <w:rPr>
          <w:rFonts w:hint="default" w:ascii="Times New Roman" w:hAnsi="Times New Roman" w:cs="Times New Roman" w:eastAsiaTheme="minorEastAsia"/>
          <w:color w:val="000000" w:themeColor="text1"/>
          <w:sz w:val="24"/>
          <w14:textFill>
            <w14:solidFill>
              <w14:schemeClr w14:val="tx1"/>
            </w14:solidFill>
          </w14:textFill>
        </w:rPr>
        <w:t>、</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设备</w:t>
      </w:r>
      <w:r>
        <w:rPr>
          <w:rFonts w:hint="default" w:ascii="Times New Roman" w:hAnsi="Times New Roman" w:cs="Times New Roman" w:eastAsiaTheme="minorEastAsia"/>
          <w:color w:val="000000" w:themeColor="text1"/>
          <w:sz w:val="24"/>
          <w14:textFill>
            <w14:solidFill>
              <w14:schemeClr w14:val="tx1"/>
            </w14:solidFill>
          </w14:textFill>
        </w:rPr>
        <w:t>售后与服务承诺书、格式合同等。投标文件</w:t>
      </w:r>
      <w:r>
        <w:rPr>
          <w:rFonts w:hint="default" w:ascii="Times New Roman" w:hAnsi="Times New Roman" w:cs="Times New Roman" w:eastAsiaTheme="minorEastAsia"/>
          <w:b/>
          <w:bCs/>
          <w:color w:val="000000" w:themeColor="text1"/>
          <w:sz w:val="24"/>
          <w14:textFill>
            <w14:solidFill>
              <w14:schemeClr w14:val="tx1"/>
            </w14:solidFill>
          </w14:textFill>
        </w:rPr>
        <w:t>每页</w:t>
      </w:r>
      <w:r>
        <w:rPr>
          <w:rFonts w:hint="default" w:ascii="Times New Roman" w:hAnsi="Times New Roman" w:cs="Times New Roman" w:eastAsiaTheme="minorEastAsia"/>
          <w:color w:val="000000" w:themeColor="text1"/>
          <w:sz w:val="24"/>
          <w14:textFill>
            <w14:solidFill>
              <w14:schemeClr w14:val="tx1"/>
            </w14:solidFill>
          </w14:textFill>
        </w:rPr>
        <w:t>均须法定代表人或其授权委托人签字并加盖单位公章。</w:t>
      </w:r>
    </w:p>
    <w:bookmarkEnd w:id="9"/>
    <w:p>
      <w:pPr>
        <w:widowControl w:val="0"/>
        <w:spacing w:line="500" w:lineRule="exact"/>
        <w:ind w:firstLine="480" w:firstLineChars="200"/>
        <w:rPr>
          <w:rFonts w:hint="default" w:ascii="Times New Roman" w:hAnsi="Times New Roman" w:cs="Times New Roman" w:eastAsiaTheme="minorEastAsia"/>
          <w:b/>
          <w:bCs/>
          <w:iCs/>
          <w:color w:val="000000" w:themeColor="text1"/>
          <w:sz w:val="24"/>
          <w14:textFill>
            <w14:solidFill>
              <w14:schemeClr w14:val="tx1"/>
            </w14:solidFill>
          </w14:textFill>
        </w:rPr>
      </w:pPr>
      <w:r>
        <w:rPr>
          <w:rFonts w:hint="default" w:ascii="Times New Roman" w:hAnsi="Times New Roman" w:cs="Times New Roman" w:eastAsiaTheme="minorEastAsia"/>
          <w:b/>
          <w:bCs/>
          <w:iCs/>
          <w:color w:val="000000" w:themeColor="text1"/>
          <w:sz w:val="24"/>
          <w14:textFill>
            <w14:solidFill>
              <w14:schemeClr w14:val="tx1"/>
            </w14:solidFill>
          </w14:textFill>
        </w:rPr>
        <w:t>五、提交投标文件截止时间、开标时间和地点</w:t>
      </w:r>
    </w:p>
    <w:p>
      <w:pPr>
        <w:widowControl w:val="0"/>
        <w:spacing w:line="500" w:lineRule="exact"/>
        <w:ind w:firstLine="480" w:firstLineChars="200"/>
        <w:rPr>
          <w:rFonts w:hint="default" w:ascii="Times New Roman" w:hAnsi="Times New Roman" w:cs="Times New Roman" w:eastAsiaTheme="minorEastAsia"/>
          <w:color w:val="000000" w:themeColor="text1"/>
          <w:sz w:val="24"/>
          <w:u w:val="single"/>
          <w14:textFill>
            <w14:solidFill>
              <w14:schemeClr w14:val="tx1"/>
            </w14:solidFill>
          </w14:textFill>
        </w:rPr>
      </w:pPr>
      <w:r>
        <w:rPr>
          <w:rFonts w:hint="default" w:ascii="Times New Roman" w:hAnsi="Times New Roman" w:cs="Times New Roman" w:eastAsiaTheme="minorEastAsia"/>
          <w:color w:val="000000" w:themeColor="text1"/>
          <w:sz w:val="24"/>
          <w14:textFill>
            <w14:solidFill>
              <w14:schemeClr w14:val="tx1"/>
            </w14:solidFill>
          </w14:textFill>
        </w:rPr>
        <w:t>（一）</w:t>
      </w:r>
      <w:r>
        <w:rPr>
          <w:rFonts w:hint="default" w:ascii="Times New Roman" w:hAnsi="Times New Roman" w:cs="Times New Roman" w:eastAsiaTheme="minorEastAsia"/>
          <w:color w:val="000000" w:themeColor="text1"/>
          <w:kern w:val="0"/>
          <w:sz w:val="24"/>
          <w14:textFill>
            <w14:solidFill>
              <w14:schemeClr w14:val="tx1"/>
            </w14:solidFill>
          </w14:textFill>
        </w:rPr>
        <w:t>投标文件提交截止时间及开标时间：</w:t>
      </w:r>
      <w:bookmarkStart w:id="10" w:name="EB15179add748c450e9039b225bcaac131"/>
      <w:r>
        <w:rPr>
          <w:rFonts w:hint="eastAsia" w:cs="Times New Roman"/>
          <w:color w:val="000000" w:themeColor="text1"/>
          <w:kern w:val="0"/>
          <w:sz w:val="24"/>
          <w:szCs w:val="24"/>
          <w:u w:val="none"/>
          <w:lang w:val="en-US" w:eastAsia="zh-CN"/>
          <w14:textFill>
            <w14:solidFill>
              <w14:schemeClr w14:val="tx1"/>
            </w14:solidFill>
          </w14:textFill>
        </w:rPr>
        <w:t>北京时间</w:t>
      </w:r>
      <w:r>
        <w:rPr>
          <w:rFonts w:hint="default" w:ascii="Times New Roman" w:hAnsi="Times New Roman" w:cs="Times New Roman" w:eastAsiaTheme="minorEastAsia"/>
          <w:color w:val="000000" w:themeColor="text1"/>
          <w:kern w:val="0"/>
          <w:sz w:val="24"/>
          <w14:textFill>
            <w14:solidFill>
              <w14:schemeClr w14:val="tx1"/>
            </w14:solidFill>
          </w14:textFill>
        </w:rPr>
        <w:t>202</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kern w:val="0"/>
          <w:sz w:val="24"/>
          <w14:textFill>
            <w14:solidFill>
              <w14:schemeClr w14:val="tx1"/>
            </w14:solidFill>
          </w14:textFill>
        </w:rPr>
        <w:t>年</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14:textFill>
            <w14:solidFill>
              <w14:schemeClr w14:val="tx1"/>
            </w14:solidFill>
          </w14:textFill>
        </w:rPr>
        <w:t>月</w:t>
      </w:r>
      <w:r>
        <w:rPr>
          <w:rFonts w:hint="default" w:ascii="Times New Roman" w:hAnsi="Times New Roman" w:cs="Times New Roman" w:eastAsiaTheme="minorEastAsia"/>
          <w:color w:val="000000" w:themeColor="text1"/>
          <w:sz w:val="24"/>
          <w:lang w:val="en-US" w:eastAsia="zh-CN"/>
          <w14:textFill>
            <w14:solidFill>
              <w14:schemeClr w14:val="tx1"/>
            </w14:solidFill>
          </w14:textFill>
        </w:rPr>
        <w:t>7</w:t>
      </w:r>
      <w:r>
        <w:rPr>
          <w:rFonts w:hint="default" w:ascii="Times New Roman" w:hAnsi="Times New Roman" w:cs="Times New Roman" w:eastAsiaTheme="minorEastAsia"/>
          <w:color w:val="000000" w:themeColor="text1"/>
          <w:sz w:val="24"/>
          <w14:textFill>
            <w14:solidFill>
              <w14:schemeClr w14:val="tx1"/>
            </w14:solidFill>
          </w14:textFill>
        </w:rPr>
        <w:t>日</w:t>
      </w:r>
      <w:r>
        <w:rPr>
          <w:rFonts w:hint="default" w:ascii="Times New Roman" w:hAnsi="Times New Roman" w:eastAsia="宋体" w:cs="Times New Roman"/>
          <w:color w:val="000000" w:themeColor="text1"/>
          <w:kern w:val="0"/>
          <w:sz w:val="24"/>
          <w:szCs w:val="24"/>
          <w:u w:val="none"/>
          <w14:textFill>
            <w14:solidFill>
              <w14:schemeClr w14:val="tx1"/>
            </w14:solidFill>
          </w14:textFill>
        </w:rPr>
        <w:t>上午</w:t>
      </w:r>
      <w:r>
        <w:rPr>
          <w:rFonts w:hint="default" w:ascii="Times New Roman" w:hAnsi="Times New Roman" w:cs="Times New Roman" w:eastAsiaTheme="minorEastAsia"/>
          <w:color w:val="000000" w:themeColor="text1"/>
          <w:kern w:val="0"/>
          <w:sz w:val="24"/>
          <w:lang w:val="en-US" w:eastAsia="zh-CN"/>
          <w14:textFill>
            <w14:solidFill>
              <w14:schemeClr w14:val="tx1"/>
            </w14:solidFill>
          </w14:textFill>
        </w:rPr>
        <w:t>9</w:t>
      </w:r>
      <w:r>
        <w:rPr>
          <w:rFonts w:hint="default" w:ascii="Times New Roman" w:hAnsi="Times New Roman" w:cs="Times New Roman" w:eastAsiaTheme="minorEastAsia"/>
          <w:color w:val="000000" w:themeColor="text1"/>
          <w:kern w:val="0"/>
          <w:sz w:val="24"/>
          <w14:textFill>
            <w14:solidFill>
              <w14:schemeClr w14:val="tx1"/>
            </w14:solidFill>
          </w14:textFill>
        </w:rPr>
        <w:t>:00</w:t>
      </w:r>
      <w:bookmarkEnd w:id="10"/>
      <w:r>
        <w:rPr>
          <w:rFonts w:hint="default" w:ascii="Times New Roman" w:hAnsi="Times New Roman" w:cs="Times New Roman" w:eastAsiaTheme="minorEastAsia"/>
          <w:color w:val="000000" w:themeColor="text1"/>
          <w:kern w:val="0"/>
          <w:sz w:val="24"/>
          <w14:textFill>
            <w14:solidFill>
              <w14:schemeClr w14:val="tx1"/>
            </w14:solidFill>
          </w14:textFill>
        </w:rPr>
        <w:t>。</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（二）逾期提交的，</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人不予受理。</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（三）本项目采用：现场开标。开标地点</w:t>
      </w:r>
      <w:bookmarkStart w:id="11" w:name="EBbd30816cb5a74e94aa4b3d3fd4a70bec"/>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扬州市长征西路14号江苏省水利建设工程有限公司5楼</w:t>
      </w:r>
      <w:r>
        <w:rPr>
          <w:rFonts w:hint="eastAsia" w:asciiTheme="minorEastAsia" w:hAnsiTheme="minorEastAsia" w:eastAsiaTheme="minorEastAsia" w:cstheme="minorEastAsia"/>
          <w:color w:val="000000" w:themeColor="text1"/>
          <w:sz w:val="24"/>
          <w14:textFill>
            <w14:solidFill>
              <w14:schemeClr w14:val="tx1"/>
            </w14:solidFill>
          </w14:textFill>
        </w:rPr>
        <w:t>会议室。</w:t>
      </w:r>
      <w:bookmarkEnd w:id="11"/>
    </w:p>
    <w:p>
      <w:pPr>
        <w:widowControl w:val="0"/>
        <w:spacing w:line="500" w:lineRule="exact"/>
        <w:ind w:firstLine="480" w:firstLineChars="200"/>
        <w:rPr>
          <w:rFonts w:hint="eastAsia" w:asciiTheme="minorEastAsia" w:hAnsiTheme="minorEastAsia" w:eastAsiaTheme="minorEastAsia" w:cstheme="minorEastAsia"/>
          <w:b/>
          <w:bCs/>
          <w:iCs/>
          <w:color w:val="000000" w:themeColor="text1"/>
          <w:sz w:val="24"/>
          <w14:textFill>
            <w14:solidFill>
              <w14:schemeClr w14:val="tx1"/>
            </w14:solidFill>
          </w14:textFill>
        </w:rPr>
      </w:pPr>
      <w:r>
        <w:rPr>
          <w:rFonts w:hint="eastAsia" w:asciiTheme="minorEastAsia" w:hAnsiTheme="minorEastAsia" w:eastAsiaTheme="minorEastAsia" w:cstheme="minorEastAsia"/>
          <w:b/>
          <w:bCs/>
          <w:iCs/>
          <w:color w:val="000000" w:themeColor="text1"/>
          <w:sz w:val="24"/>
          <w14:textFill>
            <w14:solidFill>
              <w14:schemeClr w14:val="tx1"/>
            </w14:solidFill>
          </w14:textFill>
        </w:rPr>
        <w:t>六、招标文件公期限</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招标文件公告期限为发布之日起五个工作日。</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公告发布媒体：</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江苏省水利建设工程有限公司官网</w:t>
      </w:r>
      <w:r>
        <w:rPr>
          <w:rFonts w:hint="eastAsia" w:ascii="宋体" w:hAnsi="宋体" w:cs="宋体"/>
          <w:color w:val="000000" w:themeColor="text1"/>
          <w:kern w:val="0"/>
          <w:sz w:val="24"/>
          <w:szCs w:val="24"/>
          <w:u w:val="none"/>
          <w:lang w:val="en-US" w:eastAsia="zh-CN"/>
          <w14:textFill>
            <w14:solidFill>
              <w14:schemeClr w14:val="tx1"/>
            </w14:solidFill>
          </w14:textFill>
        </w:rPr>
        <w:t>http://www.jswcc.com/</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w:t>
      </w:r>
    </w:p>
    <w:p>
      <w:pPr>
        <w:widowControl w:val="0"/>
        <w:spacing w:line="500" w:lineRule="exact"/>
        <w:ind w:firstLine="480" w:firstLineChars="200"/>
        <w:rPr>
          <w:rFonts w:hint="eastAsia" w:asciiTheme="minorEastAsia" w:hAnsiTheme="minorEastAsia" w:eastAsiaTheme="minorEastAsia" w:cstheme="minorEastAsia"/>
          <w:b/>
          <w:bCs/>
          <w:iCs/>
          <w:color w:val="000000" w:themeColor="text1"/>
          <w:sz w:val="24"/>
          <w14:textFill>
            <w14:solidFill>
              <w14:schemeClr w14:val="tx1"/>
            </w14:solidFill>
          </w14:textFill>
        </w:rPr>
      </w:pPr>
      <w:r>
        <w:rPr>
          <w:rFonts w:hint="eastAsia" w:asciiTheme="minorEastAsia" w:hAnsiTheme="minorEastAsia" w:eastAsiaTheme="minorEastAsia" w:cstheme="minorEastAsia"/>
          <w:b/>
          <w:bCs/>
          <w:iCs/>
          <w:color w:val="000000" w:themeColor="text1"/>
          <w:sz w:val="24"/>
          <w:lang w:val="en-US" w:eastAsia="zh-CN"/>
          <w14:textFill>
            <w14:solidFill>
              <w14:schemeClr w14:val="tx1"/>
            </w14:solidFill>
          </w14:textFill>
        </w:rPr>
        <w:t>七</w:t>
      </w:r>
      <w:r>
        <w:rPr>
          <w:rFonts w:hint="eastAsia" w:asciiTheme="minorEastAsia" w:hAnsiTheme="minorEastAsia" w:eastAsiaTheme="minorEastAsia" w:cstheme="minorEastAsia"/>
          <w:b/>
          <w:bCs/>
          <w:iCs/>
          <w:color w:val="000000" w:themeColor="text1"/>
          <w:sz w:val="24"/>
          <w14:textFill>
            <w14:solidFill>
              <w14:schemeClr w14:val="tx1"/>
            </w14:solidFill>
          </w14:textFill>
        </w:rPr>
        <w:t>、对本次招标提出询问，请按以下方式联系。</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人信息</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名称：</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江苏省水利建设工程有限公司</w:t>
      </w:r>
    </w:p>
    <w:p>
      <w:pPr>
        <w:widowControl w:val="0"/>
        <w:spacing w:line="500" w:lineRule="exact"/>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地址：</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扬州市长征西路14号</w:t>
      </w:r>
    </w:p>
    <w:p>
      <w:pPr>
        <w:widowControl w:val="0"/>
        <w:spacing w:line="500" w:lineRule="exact"/>
        <w:ind w:firstLine="480" w:firstLineChars="200"/>
        <w:jc w:val="left"/>
        <w:outlineLvl w:val="9"/>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联系</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人</w:t>
      </w:r>
      <w:r>
        <w:rPr>
          <w:rFonts w:hint="eastAsia" w:asciiTheme="minorEastAsia" w:hAnsiTheme="minorEastAsia" w:eastAsiaTheme="minorEastAsia" w:cstheme="minorEastAsia"/>
          <w:color w:val="000000" w:themeColor="text1"/>
          <w:sz w:val="24"/>
          <w14:textFill>
            <w14:solidFill>
              <w14:schemeClr w14:val="tx1"/>
            </w14:solidFill>
          </w14:textFill>
        </w:rPr>
        <w:t>：</w:t>
      </w:r>
      <w:bookmarkStart w:id="12" w:name="_Toc28359086"/>
      <w:bookmarkStart w:id="13" w:name="_Toc28359009"/>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朱丽</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电话：</w:t>
      </w:r>
      <w:bookmarkEnd w:id="0"/>
      <w:bookmarkEnd w:id="1"/>
      <w:bookmarkEnd w:id="2"/>
      <w:bookmarkEnd w:id="12"/>
      <w:bookmarkEnd w:id="13"/>
      <w:bookmarkStart w:id="14" w:name="_Toc256000002"/>
      <w:bookmarkStart w:id="15" w:name="_Toc63151890"/>
      <w:bookmarkStart w:id="16" w:name="_Toc211244991"/>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13218960628</w:t>
      </w:r>
    </w:p>
    <w:p>
      <w:pPr>
        <w:widowControl w:val="0"/>
        <w:spacing w:line="500" w:lineRule="exact"/>
        <w:ind w:firstLine="560" w:firstLineChars="200"/>
        <w:jc w:val="left"/>
        <w:outlineLvl w:val="9"/>
        <w:rPr>
          <w:rFonts w:hint="eastAsia" w:asciiTheme="minorEastAsia" w:hAnsiTheme="minorEastAsia" w:eastAsiaTheme="minorEastAsia" w:cstheme="minorEastAsia"/>
          <w:b/>
          <w:color w:val="000000" w:themeColor="text1"/>
          <w:sz w:val="28"/>
          <w:szCs w:val="28"/>
          <w14:textFill>
            <w14:solidFill>
              <w14:schemeClr w14:val="tx1"/>
            </w14:solidFill>
          </w14:textFill>
        </w:rPr>
      </w:pPr>
      <w:r>
        <w:rPr>
          <w:rFonts w:hint="eastAsia" w:asciiTheme="minorEastAsia" w:hAnsiTheme="minorEastAsia" w:eastAsiaTheme="minorEastAsia" w:cstheme="minorEastAsia"/>
          <w:b/>
          <w:color w:val="000000" w:themeColor="text1"/>
          <w:sz w:val="28"/>
          <w:szCs w:val="28"/>
          <w14:textFill>
            <w14:solidFill>
              <w14:schemeClr w14:val="tx1"/>
            </w14:solidFill>
          </w14:textFill>
        </w:rPr>
        <w:br w:type="page"/>
      </w:r>
    </w:p>
    <w:p>
      <w:pPr>
        <w:widowControl w:val="0"/>
        <w:ind w:firstLine="0" w:firstLineChars="0"/>
        <w:jc w:val="center"/>
        <w:outlineLvl w:val="0"/>
        <w:rPr>
          <w:rFonts w:hint="eastAsia" w:asciiTheme="minorEastAsia" w:hAnsiTheme="minorEastAsia" w:eastAsiaTheme="minorEastAsia" w:cstheme="minorEastAsia"/>
          <w:color w:val="000000" w:themeColor="text1"/>
          <w:sz w:val="36"/>
          <w:szCs w:val="36"/>
          <w14:textFill>
            <w14:solidFill>
              <w14:schemeClr w14:val="tx1"/>
            </w14:solidFill>
          </w14:textFill>
        </w:rPr>
      </w:pPr>
      <w:r>
        <w:rPr>
          <w:rFonts w:hint="eastAsia" w:asciiTheme="minorEastAsia" w:hAnsiTheme="minorEastAsia" w:eastAsiaTheme="minorEastAsia" w:cstheme="minorEastAsia"/>
          <w:b/>
          <w:color w:val="000000" w:themeColor="text1"/>
          <w:sz w:val="36"/>
          <w:szCs w:val="36"/>
          <w14:textFill>
            <w14:solidFill>
              <w14:schemeClr w14:val="tx1"/>
            </w14:solidFill>
          </w14:textFill>
        </w:rPr>
        <w:t>第二部分  投标人须知</w:t>
      </w:r>
      <w:bookmarkEnd w:id="14"/>
      <w:bookmarkEnd w:id="15"/>
    </w:p>
    <w:p>
      <w:pPr>
        <w:pStyle w:val="3"/>
        <w:keepNext w:val="0"/>
        <w:keepLines w:val="0"/>
        <w:spacing w:before="0" w:after="0"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17" w:name="_Toc256000003"/>
      <w:bookmarkStart w:id="18" w:name="_Toc63151891"/>
      <w:r>
        <w:rPr>
          <w:rFonts w:hint="eastAsia" w:asciiTheme="minorEastAsia" w:hAnsiTheme="minorEastAsia" w:eastAsiaTheme="minorEastAsia" w:cstheme="minorEastAsia"/>
          <w:color w:val="000000" w:themeColor="text1"/>
          <w:sz w:val="24"/>
          <w:szCs w:val="24"/>
          <w14:textFill>
            <w14:solidFill>
              <w14:schemeClr w14:val="tx1"/>
            </w14:solidFill>
          </w14:textFill>
        </w:rPr>
        <w:t>投标人须知前附表：</w:t>
      </w:r>
      <w:bookmarkEnd w:id="17"/>
      <w:bookmarkEnd w:id="18"/>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704"/>
        <w:gridCol w:w="2031"/>
        <w:gridCol w:w="6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67" w:hRule="atLeast"/>
          <w:jc w:val="center"/>
        </w:trPr>
        <w:tc>
          <w:tcPr>
            <w:tcW w:w="704" w:type="dxa"/>
            <w:noWrap w:val="0"/>
            <w:vAlign w:val="center"/>
          </w:tcPr>
          <w:p>
            <w:pPr>
              <w:widowControl w:val="0"/>
              <w:spacing w:line="240" w:lineRule="auto"/>
              <w:ind w:left="0" w:leftChars="0" w:firstLine="0" w:firstLineChars="0"/>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序号</w:t>
            </w:r>
          </w:p>
        </w:tc>
        <w:tc>
          <w:tcPr>
            <w:tcW w:w="2031" w:type="dxa"/>
            <w:noWrap w:val="0"/>
            <w:vAlign w:val="center"/>
          </w:tcPr>
          <w:p>
            <w:pPr>
              <w:widowControl w:val="0"/>
              <w:spacing w:line="240" w:lineRule="auto"/>
              <w:ind w:firstLine="0" w:firstLineChars="0"/>
              <w:jc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内容</w:t>
            </w:r>
          </w:p>
        </w:tc>
        <w:tc>
          <w:tcPr>
            <w:tcW w:w="6929" w:type="dxa"/>
            <w:noWrap w:val="0"/>
            <w:vAlign w:val="center"/>
          </w:tcPr>
          <w:p>
            <w:pPr>
              <w:widowControl w:val="0"/>
              <w:spacing w:line="240" w:lineRule="auto"/>
              <w:ind w:firstLine="0" w:firstLineChars="0"/>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说明及要求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67" w:hRule="atLeas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特别说明</w:t>
            </w:r>
          </w:p>
        </w:tc>
        <w:tc>
          <w:tcPr>
            <w:tcW w:w="6929" w:type="dxa"/>
            <w:noWrap w:val="0"/>
            <w:vAlign w:val="center"/>
          </w:tcPr>
          <w:p>
            <w:pPr>
              <w:widowControl w:val="0"/>
              <w:spacing w:line="36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本次招标不接受联合体投标。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67" w:hRule="exac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项目类别</w:t>
            </w:r>
          </w:p>
        </w:tc>
        <w:tc>
          <w:tcPr>
            <w:tcW w:w="6929" w:type="dxa"/>
            <w:noWrap w:val="0"/>
            <w:vAlign w:val="center"/>
          </w:tcPr>
          <w:p>
            <w:pPr>
              <w:widowControl w:val="0"/>
              <w:spacing w:line="40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19" w:name="EB9a5853ee094f4f0ea6ec3169265f6f2c"/>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 </w:t>
            </w:r>
            <w:bookmarkEnd w:id="19"/>
            <w:r>
              <w:rPr>
                <w:rFonts w:hint="eastAsia" w:asciiTheme="minorEastAsia" w:hAnsiTheme="minorEastAsia" w:eastAsiaTheme="minorEastAsia" w:cstheme="minorEastAsia"/>
                <w:color w:val="000000" w:themeColor="text1"/>
                <w:sz w:val="24"/>
                <w:szCs w:val="24"/>
                <w14:textFill>
                  <w14:solidFill>
                    <w14:schemeClr w14:val="tx1"/>
                  </w14:solidFill>
                </w14:textFill>
              </w:rPr>
              <w:t>货物</w:t>
            </w:r>
            <w:bookmarkStart w:id="20" w:name="EBd5c6c026f9674c39b21b31ecd0c1e7fa"/>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含安装）</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 </w:t>
            </w:r>
            <w:bookmarkEnd w:id="20"/>
            <w:r>
              <w:rPr>
                <w:rFonts w:hint="eastAsia" w:asciiTheme="minorEastAsia" w:hAnsiTheme="minorEastAsia" w:eastAsiaTheme="minorEastAsia" w:cstheme="minorEastAsia"/>
                <w:color w:val="000000" w:themeColor="text1"/>
                <w:sz w:val="24"/>
                <w:szCs w:val="24"/>
                <w14:textFill>
                  <w14:solidFill>
                    <w14:schemeClr w14:val="tx1"/>
                  </w14:solidFill>
                </w14:textFill>
              </w:rPr>
              <w:t>服务</w:t>
            </w:r>
            <w:bookmarkStart w:id="21" w:name="EBf7d2a4f44ecb4166a93ea852e73be69f"/>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 </w:t>
            </w:r>
            <w:bookmarkEnd w:id="21"/>
            <w:r>
              <w:rPr>
                <w:rFonts w:hint="eastAsia" w:asciiTheme="minorEastAsia" w:hAnsiTheme="minorEastAsia" w:eastAsiaTheme="minorEastAsia" w:cstheme="minorEastAsia"/>
                <w:color w:val="000000" w:themeColor="text1"/>
                <w:sz w:val="24"/>
                <w:szCs w:val="24"/>
                <w14:textFill>
                  <w14:solidFill>
                    <w14:schemeClr w14:val="tx1"/>
                  </w14:solidFill>
                </w14:textFill>
              </w:rPr>
              <w:t>工程 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009" w:hRule="exac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投标保证金</w:t>
            </w:r>
          </w:p>
        </w:tc>
        <w:tc>
          <w:tcPr>
            <w:tcW w:w="6929" w:type="dxa"/>
            <w:noWrap w:val="0"/>
            <w:vAlign w:val="center"/>
          </w:tcPr>
          <w:p>
            <w:pPr>
              <w:pStyle w:val="13"/>
              <w:spacing w:after="0" w:line="312" w:lineRule="auto"/>
              <w:ind w:left="0" w:leftChars="0"/>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bookmarkStart w:id="22" w:name="EBf0aa7f1acb3d4486acc37d897a18eaa5"/>
            <w:r>
              <w:rPr>
                <w:rFonts w:hint="eastAsia" w:asciiTheme="minorEastAsia" w:hAnsiTheme="minorEastAsia" w:eastAsiaTheme="minorEastAsia" w:cstheme="minorEastAsia"/>
                <w:color w:val="000000" w:themeColor="text1"/>
                <w:sz w:val="24"/>
                <w:szCs w:val="24"/>
                <w14:textFill>
                  <w14:solidFill>
                    <w14:schemeClr w14:val="tx1"/>
                  </w14:solidFill>
                </w14:textFill>
              </w:rPr>
              <w:t>金额：</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人民币</w:t>
            </w:r>
            <w:bookmarkEnd w:id="22"/>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贰</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拾万元整（¥</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00</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000.00）</w:t>
            </w:r>
            <w:r>
              <w:rPr>
                <w:rFonts w:hint="eastAsia" w:asciiTheme="minorEastAsia" w:hAnsiTheme="minorEastAsia" w:eastAsiaTheme="minorEastAsia" w:cstheme="minorEastAsia"/>
                <w:color w:val="000000" w:themeColor="text1"/>
                <w:sz w:val="24"/>
                <w:szCs w:val="24"/>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中标人投标保证金全额自动转为履约保证金</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未中标单位的投标保证金自中标公告发布之日起5个工作日内无息退还。</w:t>
            </w:r>
          </w:p>
          <w:p>
            <w:pPr>
              <w:pStyle w:val="13"/>
              <w:widowControl w:val="0"/>
              <w:spacing w:after="0" w:line="312" w:lineRule="auto"/>
              <w:ind w:left="0" w:leftChars="0" w:firstLine="48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请投标人</w:t>
            </w:r>
            <w:r>
              <w:rPr>
                <w:rFonts w:hint="eastAsia" w:ascii="宋体" w:hAnsi="宋体" w:eastAsia="宋体" w:cs="宋体"/>
                <w:color w:val="000000" w:themeColor="text1"/>
                <w:kern w:val="0"/>
                <w:sz w:val="24"/>
                <w:szCs w:val="24"/>
                <w:lang w:val="en-US" w:eastAsia="zh-CN"/>
                <w14:textFill>
                  <w14:solidFill>
                    <w14:schemeClr w14:val="tx1"/>
                  </w14:solidFill>
                </w14:textFill>
              </w:rPr>
              <w:t>于北京时间</w:t>
            </w:r>
            <w:r>
              <w:rPr>
                <w:rFonts w:hint="eastAsia" w:ascii="宋体" w:hAnsi="宋体" w:eastAsia="宋体" w:cs="宋体"/>
                <w:b/>
                <w:bCs/>
                <w:color w:val="000000" w:themeColor="text1"/>
                <w:kern w:val="0"/>
                <w:sz w:val="24"/>
                <w:szCs w:val="24"/>
                <w14:textFill>
                  <w14:solidFill>
                    <w14:schemeClr w14:val="tx1"/>
                  </w14:solidFill>
                </w14:textFill>
              </w:rPr>
              <w:t>202</w:t>
            </w:r>
            <w:r>
              <w:rPr>
                <w:rFonts w:hint="eastAsia" w:ascii="宋体" w:hAnsi="宋体" w:eastAsia="宋体" w:cs="宋体"/>
                <w:b/>
                <w:bCs/>
                <w:color w:val="000000" w:themeColor="text1"/>
                <w:kern w:val="0"/>
                <w:sz w:val="24"/>
                <w:szCs w:val="24"/>
                <w:lang w:val="en-US" w:eastAsia="zh-CN"/>
                <w14:textFill>
                  <w14:solidFill>
                    <w14:schemeClr w14:val="tx1"/>
                  </w14:solidFill>
                </w14:textFill>
              </w:rPr>
              <w:t>4</w:t>
            </w:r>
            <w:r>
              <w:rPr>
                <w:rFonts w:hint="eastAsia" w:ascii="宋体" w:hAnsi="宋体" w:eastAsia="宋体" w:cs="宋体"/>
                <w:b/>
                <w:bCs/>
                <w:color w:val="000000" w:themeColor="text1"/>
                <w:kern w:val="0"/>
                <w:sz w:val="24"/>
                <w:szCs w:val="24"/>
                <w14:textFill>
                  <w14:solidFill>
                    <w14:schemeClr w14:val="tx1"/>
                  </w14:solidFill>
                </w14:textFill>
              </w:rPr>
              <w:t>年</w:t>
            </w:r>
            <w:r>
              <w:rPr>
                <w:rFonts w:hint="eastAsia" w:ascii="宋体" w:hAnsi="宋体" w:eastAsia="宋体" w:cs="宋体"/>
                <w:b/>
                <w:bCs/>
                <w:color w:val="000000" w:themeColor="text1"/>
                <w:kern w:val="0"/>
                <w:sz w:val="24"/>
                <w:szCs w:val="24"/>
                <w:lang w:val="en-US" w:eastAsia="zh-CN"/>
                <w14:textFill>
                  <w14:solidFill>
                    <w14:schemeClr w14:val="tx1"/>
                  </w14:solidFill>
                </w14:textFill>
              </w:rPr>
              <w:t>2</w:t>
            </w:r>
            <w:r>
              <w:rPr>
                <w:rFonts w:hint="eastAsia" w:ascii="宋体" w:hAnsi="宋体" w:eastAsia="宋体" w:cs="宋体"/>
                <w:b/>
                <w:bCs/>
                <w:color w:val="000000" w:themeColor="text1"/>
                <w:kern w:val="0"/>
                <w:sz w:val="24"/>
                <w:szCs w:val="24"/>
                <w14:textFill>
                  <w14:solidFill>
                    <w14:schemeClr w14:val="tx1"/>
                  </w14:solidFill>
                </w14:textFill>
              </w:rPr>
              <w:t>月</w:t>
            </w:r>
            <w:r>
              <w:rPr>
                <w:rFonts w:hint="eastAsia" w:ascii="宋体" w:hAnsi="宋体" w:eastAsia="宋体" w:cs="宋体"/>
                <w:b/>
                <w:bCs/>
                <w:color w:val="000000" w:themeColor="text1"/>
                <w:kern w:val="0"/>
                <w:sz w:val="24"/>
                <w:szCs w:val="24"/>
                <w:lang w:val="en-US" w:eastAsia="zh-CN"/>
                <w14:textFill>
                  <w14:solidFill>
                    <w14:schemeClr w14:val="tx1"/>
                  </w14:solidFill>
                </w14:textFill>
              </w:rPr>
              <w:t>7</w:t>
            </w:r>
            <w:r>
              <w:rPr>
                <w:rFonts w:hint="eastAsia" w:ascii="宋体" w:hAnsi="宋体" w:eastAsia="宋体" w:cs="宋体"/>
                <w:b/>
                <w:bCs/>
                <w:color w:val="000000" w:themeColor="text1"/>
                <w:kern w:val="0"/>
                <w:sz w:val="24"/>
                <w:szCs w:val="24"/>
                <w14:textFill>
                  <w14:solidFill>
                    <w14:schemeClr w14:val="tx1"/>
                  </w14:solidFill>
                </w14:textFill>
              </w:rPr>
              <w:t>日</w:t>
            </w:r>
            <w:r>
              <w:rPr>
                <w:rFonts w:hint="eastAsia" w:ascii="宋体" w:hAnsi="宋体" w:eastAsia="宋体" w:cs="宋体"/>
                <w:b/>
                <w:bCs/>
                <w:color w:val="000000" w:themeColor="text1"/>
                <w:kern w:val="0"/>
                <w:sz w:val="24"/>
                <w:szCs w:val="24"/>
                <w:lang w:val="en-US" w:eastAsia="zh-CN"/>
                <w14:textFill>
                  <w14:solidFill>
                    <w14:schemeClr w14:val="tx1"/>
                  </w14:solidFill>
                </w14:textFill>
              </w:rPr>
              <w:t>上</w:t>
            </w:r>
            <w:r>
              <w:rPr>
                <w:rFonts w:hint="eastAsia" w:ascii="宋体" w:hAnsi="宋体" w:eastAsia="宋体" w:cs="宋体"/>
                <w:b/>
                <w:bCs/>
                <w:color w:val="000000" w:themeColor="text1"/>
                <w:kern w:val="0"/>
                <w:sz w:val="24"/>
                <w:szCs w:val="24"/>
                <w14:textFill>
                  <w14:solidFill>
                    <w14:schemeClr w14:val="tx1"/>
                  </w14:solidFill>
                </w14:textFill>
              </w:rPr>
              <w:t>午</w:t>
            </w:r>
            <w:r>
              <w:rPr>
                <w:rFonts w:hint="eastAsia" w:ascii="宋体" w:hAnsi="宋体" w:eastAsia="宋体" w:cs="宋体"/>
                <w:b/>
                <w:bCs/>
                <w:color w:val="000000" w:themeColor="text1"/>
                <w:kern w:val="0"/>
                <w:sz w:val="24"/>
                <w:szCs w:val="24"/>
                <w:lang w:val="en-US" w:eastAsia="zh-CN"/>
                <w14:textFill>
                  <w14:solidFill>
                    <w14:schemeClr w14:val="tx1"/>
                  </w14:solidFill>
                </w14:textFill>
              </w:rPr>
              <w:t>9</w:t>
            </w:r>
            <w:r>
              <w:rPr>
                <w:rFonts w:hint="eastAsia" w:ascii="宋体" w:hAnsi="宋体" w:eastAsia="宋体" w:cs="宋体"/>
                <w:b/>
                <w:bCs/>
                <w:color w:val="000000" w:themeColor="text1"/>
                <w:kern w:val="0"/>
                <w:sz w:val="24"/>
                <w:szCs w:val="24"/>
                <w14:textFill>
                  <w14:solidFill>
                    <w14:schemeClr w14:val="tx1"/>
                  </w14:solidFill>
                </w14:textFill>
              </w:rPr>
              <w:t>:00前</w:t>
            </w:r>
            <w:r>
              <w:rPr>
                <w:rFonts w:hint="eastAsia" w:asciiTheme="minorEastAsia" w:hAnsiTheme="minorEastAsia" w:eastAsiaTheme="minorEastAsia" w:cstheme="minorEastAsia"/>
                <w:color w:val="000000" w:themeColor="text1"/>
                <w14:textFill>
                  <w14:solidFill>
                    <w14:schemeClr w14:val="tx1"/>
                  </w14:solidFill>
                </w14:textFill>
              </w:rPr>
              <w:t>从投标人法人基本存款账户</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汇</w:t>
            </w:r>
            <w:r>
              <w:rPr>
                <w:rFonts w:hint="eastAsia" w:asciiTheme="minorEastAsia" w:hAnsiTheme="minorEastAsia" w:eastAsiaTheme="minorEastAsia" w:cstheme="minorEastAsia"/>
                <w:color w:val="000000" w:themeColor="text1"/>
                <w14:textFill>
                  <w14:solidFill>
                    <w14:schemeClr w14:val="tx1"/>
                  </w14:solidFill>
                </w14:textFill>
              </w:rPr>
              <w:t>至</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江苏省水利建设工程有限公司</w:t>
            </w:r>
            <w:r>
              <w:rPr>
                <w:rFonts w:hint="eastAsia" w:asciiTheme="minorEastAsia" w:hAnsiTheme="minorEastAsia" w:eastAsiaTheme="minorEastAsia" w:cstheme="minorEastAsia"/>
                <w:color w:val="000000" w:themeColor="text1"/>
                <w14:textFill>
                  <w14:solidFill>
                    <w14:schemeClr w14:val="tx1"/>
                  </w14:solidFill>
                </w14:textFill>
              </w:rPr>
              <w:t>账户</w:t>
            </w:r>
            <w:r>
              <w:rPr>
                <w:rFonts w:hint="eastAsia" w:asciiTheme="minorEastAsia" w:hAnsiTheme="minorEastAsia" w:eastAsiaTheme="minorEastAsia" w:cstheme="minorEastAsia"/>
                <w:color w:val="000000" w:themeColor="text1"/>
                <w:lang w:eastAsia="zh-CN"/>
                <w14:textFill>
                  <w14:solidFill>
                    <w14:schemeClr w14:val="tx1"/>
                  </w14:solidFill>
                </w14:textFill>
              </w:rPr>
              <w:t>（</w:t>
            </w:r>
            <w:r>
              <w:rPr>
                <w:rFonts w:hint="eastAsia" w:ascii="宋体" w:hAnsi="宋体" w:eastAsia="宋体" w:cs="宋体"/>
                <w:b/>
                <w:bCs/>
                <w:color w:val="000000" w:themeColor="text1"/>
                <w:kern w:val="0"/>
                <w:sz w:val="24"/>
                <w:szCs w:val="24"/>
                <w14:textFill>
                  <w14:solidFill>
                    <w14:schemeClr w14:val="tx1"/>
                  </w14:solidFill>
                </w14:textFill>
              </w:rPr>
              <w:t>汇款备注：</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180m</w:t>
            </w:r>
            <w:r>
              <w:rPr>
                <w:rFonts w:hint="eastAsia" w:asciiTheme="minorEastAsia" w:hAnsiTheme="minorEastAsia" w:eastAsiaTheme="minorEastAsia" w:cstheme="minorEastAsia"/>
                <w:b/>
                <w:bCs/>
                <w:color w:val="000000" w:themeColor="text1"/>
                <w:szCs w:val="24"/>
                <w:u w:val="single"/>
                <w:vertAlign w:val="superscript"/>
                <w:lang w:val="en-US" w:eastAsia="zh-CN"/>
                <w14:textFill>
                  <w14:solidFill>
                    <w14:schemeClr w14:val="tx1"/>
                  </w14:solidFill>
                </w14:textFill>
              </w:rPr>
              <w:t>3</w:t>
            </w:r>
            <w:r>
              <w:rPr>
                <w:rFonts w:hint="eastAsia" w:asciiTheme="minorEastAsia" w:hAnsiTheme="minorEastAsia" w:eastAsiaTheme="minorEastAsia" w:cstheme="minorEastAsia"/>
                <w:b/>
                <w:bCs/>
                <w:color w:val="000000" w:themeColor="text1"/>
                <w:szCs w:val="24"/>
                <w:u w:val="single"/>
                <w:lang w:val="en-US" w:eastAsia="zh-CN"/>
                <w14:textFill>
                  <w14:solidFill>
                    <w14:schemeClr w14:val="tx1"/>
                  </w14:solidFill>
                </w14:textFill>
              </w:rPr>
              <w:t>搅拌站及配套设备采购投标保证金）</w:t>
            </w: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宋体" w:hAnsi="宋体" w:eastAsia="宋体" w:cs="宋体"/>
                <w:color w:val="000000" w:themeColor="text1"/>
                <w:kern w:val="0"/>
                <w:sz w:val="24"/>
                <w:szCs w:val="24"/>
                <w14:textFill>
                  <w14:solidFill>
                    <w14:schemeClr w14:val="tx1"/>
                  </w14:solidFill>
                </w14:textFill>
              </w:rPr>
              <w:t>投标保证金接收账户如下：</w:t>
            </w:r>
          </w:p>
          <w:p>
            <w:pPr>
              <w:pStyle w:val="13"/>
              <w:widowControl w:val="0"/>
              <w:spacing w:after="0" w:line="312" w:lineRule="auto"/>
              <w:ind w:left="0" w:leftChars="0" w:firstLine="480"/>
              <w:rPr>
                <w:rFonts w:hint="eastAsia" w:asciiTheme="minorEastAsia" w:hAnsiTheme="minorEastAsia" w:eastAsiaTheme="minorEastAsia" w:cstheme="minorEastAsia"/>
                <w:color w:val="000000" w:themeColor="text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户名</w:t>
            </w: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江苏省水利建设工程有限公司</w:t>
            </w:r>
          </w:p>
          <w:p>
            <w:pPr>
              <w:pStyle w:val="13"/>
              <w:widowControl w:val="0"/>
              <w:spacing w:after="0" w:line="312" w:lineRule="auto"/>
              <w:ind w:left="0" w:leftChars="0" w:firstLine="48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开户行：</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中国建设银行扬州琼花</w:t>
            </w:r>
            <w:r>
              <w:rPr>
                <w:rFonts w:hint="eastAsia" w:asciiTheme="minorEastAsia" w:hAnsiTheme="minorEastAsia" w:eastAsiaTheme="minorEastAsia" w:cstheme="minorEastAsia"/>
                <w:color w:val="000000" w:themeColor="text1"/>
                <w14:textFill>
                  <w14:solidFill>
                    <w14:schemeClr w14:val="tx1"/>
                  </w14:solidFill>
                </w14:textFill>
              </w:rPr>
              <w:t>支行</w:t>
            </w:r>
            <w:bookmarkStart w:id="81" w:name="_GoBack"/>
            <w:bookmarkEnd w:id="81"/>
          </w:p>
          <w:p>
            <w:pPr>
              <w:pStyle w:val="13"/>
              <w:widowControl w:val="0"/>
              <w:spacing w:after="0" w:line="312" w:lineRule="auto"/>
              <w:ind w:left="0" w:leftChars="0" w:firstLine="48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账号：</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32001745736050488688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67" w:hRule="exac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投标报价有效期</w:t>
            </w:r>
          </w:p>
        </w:tc>
        <w:tc>
          <w:tcPr>
            <w:tcW w:w="6929" w:type="dxa"/>
            <w:noWrap w:val="0"/>
            <w:vAlign w:val="center"/>
          </w:tcPr>
          <w:p>
            <w:pPr>
              <w:widowControl w:val="0"/>
              <w:spacing w:line="400" w:lineRule="exact"/>
              <w:textAlignment w:val="baseline"/>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23" w:name="EBd40b5fb42f2944a3b45e579ce3941f02"/>
            <w:r>
              <w:rPr>
                <w:rFonts w:hint="eastAsia" w:asciiTheme="minorEastAsia" w:hAnsiTheme="minorEastAsia" w:eastAsiaTheme="minorEastAsia" w:cstheme="minorEastAsia"/>
                <w:color w:val="000000" w:themeColor="text1"/>
                <w:sz w:val="24"/>
                <w:szCs w:val="24"/>
                <w14:textFill>
                  <w14:solidFill>
                    <w14:schemeClr w14:val="tx1"/>
                  </w14:solidFill>
                </w14:textFill>
              </w:rPr>
              <w:t>30</w:t>
            </w:r>
            <w:bookmarkEnd w:id="23"/>
            <w:r>
              <w:rPr>
                <w:rFonts w:hint="eastAsia" w:asciiTheme="minorEastAsia" w:hAnsiTheme="minorEastAsia" w:eastAsiaTheme="minorEastAsia" w:cstheme="minorEastAsia"/>
                <w:color w:val="000000" w:themeColor="text1"/>
                <w:sz w:val="24"/>
                <w:szCs w:val="24"/>
                <w14:textFill>
                  <w14:solidFill>
                    <w14:schemeClr w14:val="tx1"/>
                  </w14:solidFill>
                </w14:textFill>
              </w:rPr>
              <w:t>日（从提交投标文件截止之日起算）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567" w:hRule="exac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strike/>
                <w:color w:val="000000" w:themeColor="text1"/>
                <w:sz w:val="24"/>
                <w:szCs w:val="24"/>
                <w14:textFill>
                  <w14:solidFill>
                    <w14:schemeClr w14:val="tx1"/>
                  </w14:solidFill>
                </w14:textFill>
              </w:rPr>
            </w:pPr>
            <w:r>
              <w:rPr>
                <w:rFonts w:hint="eastAsia" w:asciiTheme="minorEastAsia" w:hAnsiTheme="minorEastAsia" w:eastAsiaTheme="minorEastAsia" w:cstheme="minorEastAsia"/>
                <w:strike/>
                <w:color w:val="000000" w:themeColor="text1"/>
                <w:sz w:val="24"/>
                <w:szCs w:val="24"/>
                <w14:textFill>
                  <w14:solidFill>
                    <w14:schemeClr w14:val="tx1"/>
                  </w14:solidFill>
                </w14:textFill>
              </w:rPr>
              <w:t>5</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strike w:val="0"/>
                <w:color w:val="000000" w:themeColor="text1"/>
                <w:sz w:val="24"/>
                <w:szCs w:val="24"/>
                <w:lang w:val="en-US" w:eastAsia="zh-CN"/>
                <w14:textFill>
                  <w14:solidFill>
                    <w14:schemeClr w14:val="tx1"/>
                  </w14:solidFill>
                </w14:textFill>
              </w:rPr>
              <w:t>纸质</w:t>
            </w:r>
            <w:r>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t>投标文件份数</w:t>
            </w:r>
          </w:p>
        </w:tc>
        <w:tc>
          <w:tcPr>
            <w:tcW w:w="6929" w:type="dxa"/>
            <w:noWrap w:val="0"/>
            <w:vAlign w:val="center"/>
          </w:tcPr>
          <w:p>
            <w:pPr>
              <w:widowControl w:val="0"/>
              <w:tabs>
                <w:tab w:val="left" w:pos="5238"/>
              </w:tabs>
              <w:spacing w:line="400" w:lineRule="exact"/>
              <w:textAlignment w:val="baseline"/>
              <w:rPr>
                <w:rFonts w:hint="eastAsia" w:asciiTheme="minorEastAsia" w:hAnsiTheme="minorEastAsia" w:eastAsiaTheme="minorEastAsia" w:cstheme="minorEastAsia"/>
                <w:strike w:val="0"/>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t>提交纸质正本1份</w:t>
            </w:r>
            <w:r>
              <w:rPr>
                <w:rFonts w:hint="eastAsia" w:asciiTheme="minorEastAsia" w:hAnsiTheme="minorEastAsia" w:eastAsiaTheme="minorEastAsia" w:cstheme="minorEastAsia"/>
                <w:strike w:val="0"/>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strike w:val="0"/>
                <w:color w:val="000000" w:themeColor="text1"/>
                <w:sz w:val="24"/>
                <w:szCs w:val="24"/>
                <w:lang w:val="en-US" w:eastAsia="zh-CN"/>
                <w14:textFill>
                  <w14:solidFill>
                    <w14:schemeClr w14:val="tx1"/>
                  </w14:solidFill>
                </w14:textFill>
              </w:rPr>
              <w:t>副本三份</w:t>
            </w:r>
            <w:r>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1809" w:hRule="atLeas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strike/>
                <w:color w:val="000000" w:themeColor="text1"/>
                <w:sz w:val="24"/>
                <w:szCs w:val="24"/>
                <w14:textFill>
                  <w14:solidFill>
                    <w14:schemeClr w14:val="tx1"/>
                  </w14:solidFill>
                </w14:textFill>
              </w:rPr>
            </w:pPr>
            <w:r>
              <w:rPr>
                <w:rFonts w:hint="eastAsia" w:asciiTheme="minorEastAsia" w:hAnsiTheme="minorEastAsia" w:eastAsiaTheme="minorEastAsia" w:cstheme="minorEastAsia"/>
                <w:strike/>
                <w:color w:val="000000" w:themeColor="text1"/>
                <w:sz w:val="24"/>
                <w:szCs w:val="24"/>
                <w14:textFill>
                  <w14:solidFill>
                    <w14:schemeClr w14:val="tx1"/>
                  </w14:solidFill>
                </w14:textFill>
              </w:rPr>
              <w:t>6</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t>开标</w:t>
            </w:r>
          </w:p>
        </w:tc>
        <w:tc>
          <w:tcPr>
            <w:tcW w:w="6929" w:type="dxa"/>
            <w:noWrap w:val="0"/>
            <w:vAlign w:val="center"/>
          </w:tcPr>
          <w:p>
            <w:pPr>
              <w:widowControl w:val="0"/>
              <w:spacing w:line="400" w:lineRule="exact"/>
              <w:textAlignment w:val="baseline"/>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strike w:val="0"/>
                <w:color w:val="000000" w:themeColor="text1"/>
                <w:sz w:val="24"/>
                <w:szCs w:val="24"/>
                <w:lang w:val="en-US" w:eastAsia="zh-CN"/>
                <w14:textFill>
                  <w14:solidFill>
                    <w14:schemeClr w14:val="tx1"/>
                  </w14:solidFill>
                </w14:textFill>
              </w:rPr>
              <w:t>投标单位选择现场纸质投标的，</w:t>
            </w:r>
            <w:r>
              <w:rPr>
                <w:rFonts w:hint="eastAsia" w:asciiTheme="minorEastAsia" w:hAnsiTheme="minorEastAsia" w:eastAsiaTheme="minorEastAsia" w:cstheme="minorEastAsia"/>
                <w:strike w:val="0"/>
                <w:color w:val="000000" w:themeColor="text1"/>
                <w:sz w:val="24"/>
                <w:szCs w:val="24"/>
                <w14:textFill>
                  <w14:solidFill>
                    <w14:schemeClr w14:val="tx1"/>
                  </w14:solidFill>
                </w14:textFill>
              </w:rPr>
              <w:t>在规定的时间和地点准时参加开标，并在投标文件接收截止时间前提供以下资料：（1）投标文件；（2）授权委托书；（3）法人代表身份证（或被授权人身份证）原件；(4)投标保证金缴纳凭证。</w:t>
            </w:r>
          </w:p>
          <w:p>
            <w:pPr>
              <w:widowControl w:val="0"/>
              <w:spacing w:line="400" w:lineRule="exact"/>
              <w:textAlignment w:val="baseline"/>
              <w:rPr>
                <w:rFonts w:hint="default" w:asciiTheme="minorEastAsia" w:hAnsiTheme="minorEastAsia" w:eastAsiaTheme="minorEastAsia" w:cstheme="minorEastAsia"/>
                <w:strike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strike w:val="0"/>
                <w:color w:val="000000" w:themeColor="text1"/>
                <w:sz w:val="24"/>
                <w:szCs w:val="24"/>
                <w:lang w:val="en-US" w:eastAsia="zh-CN"/>
                <w14:textFill>
                  <w14:solidFill>
                    <w14:schemeClr w14:val="tx1"/>
                  </w14:solidFill>
                </w14:textFill>
              </w:rPr>
              <w:t>投标单位选择网上投标的，相关资料由招标人在平台下载现场开标。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1682" w:hRule="atLeas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评标办法</w:t>
            </w:r>
          </w:p>
        </w:tc>
        <w:tc>
          <w:tcPr>
            <w:tcW w:w="6929" w:type="dxa"/>
            <w:noWrap w:val="0"/>
            <w:vAlign w:val="center"/>
          </w:tcPr>
          <w:p>
            <w:pPr>
              <w:widowControl w:val="0"/>
              <w:spacing w:line="400" w:lineRule="exact"/>
              <w:textAlignment w:val="baseline"/>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24" w:name="EB01ad4d0610b94c8dbc88b91e6c2e3007"/>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bookmarkEnd w:id="24"/>
            <w:r>
              <w:rPr>
                <w:rFonts w:hint="eastAsia" w:asciiTheme="minorEastAsia" w:hAnsiTheme="minorEastAsia" w:eastAsiaTheme="minorEastAsia" w:cstheme="minorEastAsia"/>
                <w:color w:val="000000" w:themeColor="text1"/>
                <w:sz w:val="24"/>
                <w:szCs w:val="24"/>
                <w14:textFill>
                  <w14:solidFill>
                    <w14:schemeClr w14:val="tx1"/>
                  </w14:solidFill>
                </w14:textFill>
              </w:rPr>
              <w:t>最低评标价法；</w:t>
            </w:r>
            <w:bookmarkStart w:id="25" w:name="EB60edc45a715b46df9501002f44e6ae26"/>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bookmarkEnd w:id="25"/>
            <w:r>
              <w:rPr>
                <w:rFonts w:hint="eastAsia" w:asciiTheme="minorEastAsia" w:hAnsiTheme="minorEastAsia" w:eastAsiaTheme="minorEastAsia" w:cstheme="minorEastAsia"/>
                <w:color w:val="000000" w:themeColor="text1"/>
                <w:sz w:val="24"/>
                <w:szCs w:val="24"/>
                <w14:textFill>
                  <w14:solidFill>
                    <w14:schemeClr w14:val="tx1"/>
                  </w14:solidFill>
                </w14:textFill>
              </w:rPr>
              <w:t>综合评分法</w:t>
            </w:r>
          </w:p>
          <w:p>
            <w:pPr>
              <w:widowControl w:val="0"/>
              <w:spacing w:line="400" w:lineRule="exact"/>
              <w:textAlignment w:val="baseline"/>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具体评标办法详见招标文件第三部分。</w:t>
            </w:r>
          </w:p>
          <w:p>
            <w:pPr>
              <w:widowControl w:val="0"/>
              <w:spacing w:line="400" w:lineRule="exact"/>
              <w:textAlignment w:val="baseline"/>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评标委员会按照招标文件规定评标办法和标准推荐1名中标候选人。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994" w:hRule="atLeast"/>
          <w:jc w:val="center"/>
        </w:trPr>
        <w:tc>
          <w:tcPr>
            <w:tcW w:w="704" w:type="dxa"/>
            <w:noWrap w:val="0"/>
            <w:vAlign w:val="center"/>
          </w:tcPr>
          <w:p>
            <w:pPr>
              <w:widowControl w:val="0"/>
              <w:spacing w:line="360" w:lineRule="exact"/>
              <w:ind w:left="0" w:leftChars="0"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8</w:t>
            </w:r>
          </w:p>
        </w:tc>
        <w:tc>
          <w:tcPr>
            <w:tcW w:w="2031" w:type="dxa"/>
            <w:noWrap w:val="0"/>
            <w:vAlign w:val="center"/>
          </w:tcPr>
          <w:p>
            <w:pPr>
              <w:widowControl w:val="0"/>
              <w:spacing w:line="360" w:lineRule="exact"/>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分包要求</w:t>
            </w:r>
          </w:p>
        </w:tc>
        <w:tc>
          <w:tcPr>
            <w:tcW w:w="6929" w:type="dxa"/>
            <w:noWrap w:val="0"/>
            <w:vAlign w:val="center"/>
          </w:tcPr>
          <w:p>
            <w:pPr>
              <w:widowControl w:val="0"/>
              <w:spacing w:line="360" w:lineRule="auto"/>
              <w:textAlignment w:val="baseline"/>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26" w:name="EBebac1462c5d9459fbda8a75065c2455d"/>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 </w:t>
            </w:r>
            <w:bookmarkEnd w:id="26"/>
            <w:r>
              <w:rPr>
                <w:rFonts w:hint="eastAsia" w:asciiTheme="minorEastAsia" w:hAnsiTheme="minorEastAsia" w:eastAsiaTheme="minorEastAsia" w:cstheme="minorEastAsia"/>
                <w:color w:val="000000" w:themeColor="text1"/>
                <w:sz w:val="24"/>
                <w:szCs w:val="24"/>
                <w14:textFill>
                  <w14:solidFill>
                    <w14:schemeClr w14:val="tx1"/>
                  </w14:solidFill>
                </w14:textFill>
              </w:rPr>
              <w:t>允许分包，</w:t>
            </w:r>
            <w:bookmarkStart w:id="27" w:name="EB512ba06683724173802e2aae54a26079"/>
            <w:bookmarkEnd w:id="27"/>
          </w:p>
          <w:p>
            <w:pPr>
              <w:widowControl w:val="0"/>
              <w:spacing w:line="360" w:lineRule="auto"/>
              <w:textAlignment w:val="baseline"/>
              <w:rPr>
                <w:rFonts w:hint="eastAsia" w:asciiTheme="minorEastAsia" w:hAnsiTheme="minorEastAsia" w:eastAsiaTheme="minorEastAsia" w:cstheme="minorEastAsia"/>
                <w:color w:val="000000" w:themeColor="text1"/>
                <w14:textFill>
                  <w14:solidFill>
                    <w14:schemeClr w14:val="tx1"/>
                  </w14:solidFill>
                </w14:textFill>
              </w:rPr>
            </w:pPr>
            <w:bookmarkStart w:id="28" w:name="EBe736f7e952dc4539950235f053527a10"/>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 </w:t>
            </w:r>
            <w:bookmarkEnd w:id="28"/>
            <w:r>
              <w:rPr>
                <w:rFonts w:hint="eastAsia" w:asciiTheme="minorEastAsia" w:hAnsiTheme="minorEastAsia" w:eastAsiaTheme="minorEastAsia" w:cstheme="minorEastAsia"/>
                <w:color w:val="000000" w:themeColor="text1"/>
                <w:sz w:val="24"/>
                <w:szCs w:val="24"/>
                <w14:textFill>
                  <w14:solidFill>
                    <w14:schemeClr w14:val="tx1"/>
                  </w14:solidFill>
                </w14:textFill>
              </w:rPr>
              <w:t>不允许分包。</w:t>
            </w:r>
          </w:p>
        </w:tc>
      </w:tr>
    </w:tbl>
    <w:p>
      <w:pPr>
        <w:rPr>
          <w:rFonts w:hint="eastAsia" w:asciiTheme="minorEastAsia" w:hAnsiTheme="minorEastAsia" w:eastAsiaTheme="minorEastAsia" w:cstheme="minorEastAsia"/>
          <w:color w:val="000000" w:themeColor="text1"/>
          <w14:textFill>
            <w14:solidFill>
              <w14:schemeClr w14:val="tx1"/>
            </w14:solidFill>
          </w14:textFill>
        </w:rPr>
      </w:pPr>
      <w:bookmarkStart w:id="29" w:name="_Toc256000004"/>
      <w:bookmarkStart w:id="30" w:name="_Toc63151892"/>
      <w:r>
        <w:rPr>
          <w:rFonts w:hint="eastAsia" w:asciiTheme="minorEastAsia" w:hAnsiTheme="minorEastAsia" w:eastAsiaTheme="minorEastAsia" w:cstheme="minorEastAsia"/>
          <w:color w:val="000000" w:themeColor="text1"/>
          <w14:textFill>
            <w14:solidFill>
              <w14:schemeClr w14:val="tx1"/>
            </w14:solidFill>
          </w14:textFill>
        </w:rPr>
        <w:br w:type="page"/>
      </w:r>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一、总 则</w:t>
      </w:r>
      <w:bookmarkEnd w:id="29"/>
      <w:bookmarkEnd w:id="30"/>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1、招标方式</w:t>
      </w:r>
    </w:p>
    <w:p>
      <w:pPr>
        <w:pStyle w:val="6"/>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本次招标采取公开招标方式。</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2、合格的投标人</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2.1合格的投标人必须符合招标文件第一部分《</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招标公告</w:t>
      </w:r>
      <w:r>
        <w:rPr>
          <w:rFonts w:hint="eastAsia" w:asciiTheme="minorEastAsia" w:hAnsiTheme="minorEastAsia" w:eastAsiaTheme="minorEastAsia" w:cstheme="minorEastAsia"/>
          <w:color w:val="000000" w:themeColor="text1"/>
          <w:sz w:val="24"/>
          <w14:textFill>
            <w14:solidFill>
              <w14:schemeClr w14:val="tx1"/>
            </w14:solidFill>
          </w14:textFill>
        </w:rPr>
        <w:t>》第二条及须知前附表相关规定，且具备完成本项目的</w:t>
      </w:r>
      <w:r>
        <w:rPr>
          <w:rFonts w:hint="eastAsia" w:asciiTheme="minorEastAsia" w:hAnsiTheme="minorEastAsia" w:eastAsiaTheme="minorEastAsia" w:cstheme="minorEastAsia"/>
          <w:color w:val="000000" w:themeColor="text1"/>
          <w:kern w:val="10"/>
          <w:sz w:val="24"/>
          <w14:textFill>
            <w14:solidFill>
              <w14:schemeClr w14:val="tx1"/>
            </w14:solidFill>
          </w14:textFill>
        </w:rPr>
        <w:t>能</w:t>
      </w:r>
      <w:r>
        <w:rPr>
          <w:rFonts w:hint="eastAsia" w:asciiTheme="minorEastAsia" w:hAnsiTheme="minorEastAsia" w:eastAsiaTheme="minorEastAsia" w:cstheme="minorEastAsia"/>
          <w:color w:val="000000" w:themeColor="text1"/>
          <w:sz w:val="24"/>
          <w14:textFill>
            <w14:solidFill>
              <w14:schemeClr w14:val="tx1"/>
            </w14:solidFill>
          </w14:textFill>
        </w:rPr>
        <w:t>力，中标后不允许</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分包、</w:t>
      </w:r>
      <w:r>
        <w:rPr>
          <w:rFonts w:hint="eastAsia" w:asciiTheme="minorEastAsia" w:hAnsiTheme="minorEastAsia" w:eastAsiaTheme="minorEastAsia" w:cstheme="minorEastAsia"/>
          <w:color w:val="000000" w:themeColor="text1"/>
          <w:sz w:val="24"/>
          <w14:textFill>
            <w14:solidFill>
              <w14:schemeClr w14:val="tx1"/>
            </w14:solidFill>
          </w14:textFill>
        </w:rPr>
        <w:t>转包。</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2.2合格的投标人应遵守相关法律、法规。</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3、适用法律</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本次招标及由本次招标产生的合同受中华人民共和国的相关法律、法规制约和保护。</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4、投标费用</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投标人应自行承担所有参加投标有关的费用。</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5、招标文件的约束力</w:t>
      </w:r>
    </w:p>
    <w:p>
      <w:pPr>
        <w:widowControl w:val="0"/>
        <w:spacing w:line="500" w:lineRule="exact"/>
        <w:ind w:firstLine="480" w:firstLineChars="20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投标人（供应商）一旦报名参加本项目投标，即被认为接受了本招标文件的所有条件和规定。</w:t>
      </w:r>
      <w:bookmarkStart w:id="31" w:name="EB03f11de025af49a0b0680fbbffa2bc40"/>
      <w:r>
        <w:rPr>
          <w:rFonts w:hint="eastAsia" w:asciiTheme="minorEastAsia" w:hAnsiTheme="minorEastAsia" w:eastAsiaTheme="minorEastAsia" w:cstheme="minorEastAsia"/>
          <w:color w:val="000000" w:themeColor="text1"/>
          <w:sz w:val="20"/>
          <w14:textFill>
            <w14:solidFill>
              <w14:schemeClr w14:val="tx1"/>
            </w14:solidFill>
          </w14:textFill>
        </w:rPr>
        <w:t xml:space="preserve"> </w:t>
      </w:r>
      <w:bookmarkEnd w:id="31"/>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32" w:name="_Toc63151893"/>
      <w:bookmarkStart w:id="33" w:name="_Toc256000005"/>
      <w:r>
        <w:rPr>
          <w:rFonts w:hint="eastAsia" w:asciiTheme="minorEastAsia" w:hAnsiTheme="minorEastAsia" w:eastAsiaTheme="minorEastAsia" w:cstheme="minorEastAsia"/>
          <w:color w:val="000000" w:themeColor="text1"/>
          <w14:textFill>
            <w14:solidFill>
              <w14:schemeClr w14:val="tx1"/>
            </w14:solidFill>
          </w14:textFill>
        </w:rPr>
        <w:t>二、招标文件</w:t>
      </w:r>
      <w:bookmarkEnd w:id="32"/>
      <w:bookmarkEnd w:id="33"/>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6、招标文件构成</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第一部分：</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招标公告</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第二部分：投标人须知； </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第三部分：资格审查及评分办法；</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第四部分：采购需求；</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第五部分：合同格式及条款；</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第六部分：投标文件格式。</w:t>
      </w:r>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34" w:name="_Toc256000006"/>
      <w:bookmarkStart w:id="35" w:name="_Toc63151894"/>
      <w:r>
        <w:rPr>
          <w:rFonts w:hint="eastAsia" w:asciiTheme="minorEastAsia" w:hAnsiTheme="minorEastAsia" w:eastAsiaTheme="minorEastAsia" w:cstheme="minorEastAsia"/>
          <w:color w:val="000000" w:themeColor="text1"/>
          <w14:textFill>
            <w14:solidFill>
              <w14:schemeClr w14:val="tx1"/>
            </w14:solidFill>
          </w14:textFill>
        </w:rPr>
        <w:t>三、投标文件的编制</w:t>
      </w:r>
      <w:bookmarkEnd w:id="34"/>
      <w:bookmarkEnd w:id="35"/>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7</w:t>
      </w:r>
      <w:r>
        <w:rPr>
          <w:rFonts w:hint="eastAsia" w:asciiTheme="minorEastAsia" w:hAnsiTheme="minorEastAsia" w:eastAsiaTheme="minorEastAsia" w:cstheme="minorEastAsia"/>
          <w:b/>
          <w:color w:val="000000" w:themeColor="text1"/>
          <w:sz w:val="24"/>
          <w14:textFill>
            <w14:solidFill>
              <w14:schemeClr w14:val="tx1"/>
            </w14:solidFill>
          </w14:textFill>
        </w:rPr>
        <w:t>、投标文件的编制要求</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14:textFill>
            <w14:solidFill>
              <w14:schemeClr w14:val="tx1"/>
            </w14:solidFill>
          </w14:textFill>
        </w:rPr>
        <w:t>.1投标人应仔细阅读“招标文件”的所有内容，按“招标文件”第六部分“投标文件格式”编制“投标文件”，如有必要，可以增加附页，作为投标文件的组成部分。投标人须保证所提供的全部资料的真实性、完整性及有效性，以使其投标对“招标文件”作出实质性响应。否则，可能被拒绝。</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7</w:t>
      </w:r>
      <w:r>
        <w:rPr>
          <w:rFonts w:hint="eastAsia" w:asciiTheme="minorEastAsia" w:hAnsiTheme="minorEastAsia" w:eastAsiaTheme="minorEastAsia" w:cstheme="minorEastAsia"/>
          <w:color w:val="000000" w:themeColor="text1"/>
          <w:sz w:val="24"/>
          <w14:textFill>
            <w14:solidFill>
              <w14:schemeClr w14:val="tx1"/>
            </w14:solidFill>
          </w14:textFill>
        </w:rPr>
        <w:t>.2投标文件应当对招标文件有关交货期、投标有效期、质量要求、技术标准和要求、招标范围等实质性内容作出响应。</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b/>
          <w:color w:val="000000" w:themeColor="text1"/>
          <w:sz w:val="24"/>
          <w14:textFill>
            <w14:solidFill>
              <w14:schemeClr w14:val="tx1"/>
            </w14:solidFill>
          </w14:textFill>
        </w:rPr>
        <w:t>、投标文件构成</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.1投标函</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.2资格审查</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（1）投标人营业执照等证明材料复印件</w:t>
      </w:r>
      <w:r>
        <w:rPr>
          <w:rFonts w:hint="eastAsia" w:asciiTheme="minorEastAsia" w:hAnsiTheme="minorEastAsia" w:eastAsiaTheme="minorEastAsia" w:cstheme="minorEastAsia"/>
          <w:strike w:val="0"/>
          <w:color w:val="000000" w:themeColor="text1"/>
          <w:sz w:val="24"/>
          <w14:textFill>
            <w14:solidFill>
              <w14:schemeClr w14:val="tx1"/>
            </w14:solidFill>
          </w14:textFill>
        </w:rPr>
        <w:t>（“三证合一”的提供“营业执照”）</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（2）投标声明及承诺函。</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.3法人代表证明或法定代表人授权委托书；</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.4报价文件</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.4.1开标一览表；</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.4.2明细报价表。</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.5技术文件</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bookmarkStart w:id="36" w:name="EB7f6b24a996964930b08d6b290b36e3fd"/>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.5.2产品检测、材质检测等相关材料复印件；</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.5.3资质认证证书或证明材料复印件；</w:t>
      </w:r>
    </w:p>
    <w:bookmarkEnd w:id="36"/>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.6商务文件</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bookmarkStart w:id="37" w:name="EBdc2c24f6358343e896cd43bd6621a619"/>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.6.1投标人承担的类似项目业绩一览表；</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.6.2其他商务文件。</w:t>
      </w:r>
      <w:bookmarkEnd w:id="37"/>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4"/>
          <w14:textFill>
            <w14:solidFill>
              <w14:schemeClr w14:val="tx1"/>
            </w14:solidFill>
          </w14:textFill>
        </w:rPr>
        <w:t>.7投标人认为有必要提供的其它材料。</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注：（1）以上材料须加盖单位公章。</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9</w:t>
      </w:r>
      <w:r>
        <w:rPr>
          <w:rFonts w:hint="eastAsia" w:asciiTheme="minorEastAsia" w:hAnsiTheme="minorEastAsia" w:eastAsiaTheme="minorEastAsia" w:cstheme="minorEastAsia"/>
          <w:b/>
          <w:color w:val="000000" w:themeColor="text1"/>
          <w:sz w:val="24"/>
          <w14:textFill>
            <w14:solidFill>
              <w14:schemeClr w14:val="tx1"/>
            </w14:solidFill>
          </w14:textFill>
        </w:rPr>
        <w:t>、投标文件的格式</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4"/>
          <w14:textFill>
            <w14:solidFill>
              <w14:schemeClr w14:val="tx1"/>
            </w14:solidFill>
          </w14:textFill>
        </w:rPr>
        <w:t>.1、供应商需按照上述投标文件构成顺序编制投标文件，并按招标文件中提供的格式填写承诺函、授权委托书、报价一览表等材料。为方便评审，供应商应编制投标文件目录和页码。</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4"/>
          <w14:textFill>
            <w14:solidFill>
              <w14:schemeClr w14:val="tx1"/>
            </w14:solidFill>
          </w14:textFill>
        </w:rPr>
        <w:t>.2、投标文件包括</w:t>
      </w:r>
      <w:r>
        <w:rPr>
          <w:rFonts w:hint="eastAsia" w:asciiTheme="minorEastAsia" w:hAnsiTheme="minorEastAsia" w:eastAsiaTheme="minorEastAsia" w:cstheme="minorEastAsia"/>
          <w:color w:val="000000" w:themeColor="text1"/>
          <w:sz w:val="24"/>
          <w:u w:val="none"/>
          <w14:textFill>
            <w14:solidFill>
              <w14:schemeClr w14:val="tx1"/>
            </w14:solidFill>
          </w14:textFill>
        </w:rPr>
        <w:t>：</w:t>
      </w:r>
      <w:r>
        <w:rPr>
          <w:rFonts w:hint="eastAsia" w:asciiTheme="minorEastAsia" w:hAnsiTheme="minorEastAsia" w:eastAsiaTheme="minorEastAsia" w:cstheme="minorEastAsia"/>
          <w:color w:val="000000" w:themeColor="text1"/>
          <w:sz w:val="24"/>
          <w:u w:val="none"/>
          <w:lang w:val="en-US" w:eastAsia="zh-CN"/>
          <w14:textFill>
            <w14:solidFill>
              <w14:schemeClr w14:val="tx1"/>
            </w14:solidFill>
          </w14:textFill>
        </w:rPr>
        <w:t>投标人选择网上投标的形式，根据以上要求在平台上传投标文件；投标人选择现场纸质投标方式的，</w:t>
      </w:r>
      <w:r>
        <w:rPr>
          <w:rFonts w:hint="eastAsia" w:asciiTheme="minorEastAsia" w:hAnsiTheme="minorEastAsia" w:eastAsiaTheme="minorEastAsia" w:cstheme="minorEastAsia"/>
          <w:strike w:val="0"/>
          <w:color w:val="000000" w:themeColor="text1"/>
          <w:sz w:val="24"/>
          <w:u w:val="none"/>
          <w:lang w:val="en-US" w:eastAsia="zh-CN"/>
          <w14:textFill>
            <w14:solidFill>
              <w14:schemeClr w14:val="tx1"/>
            </w14:solidFill>
          </w14:textFill>
        </w:rPr>
        <w:t>需要提供纸质</w:t>
      </w:r>
      <w:r>
        <w:rPr>
          <w:rFonts w:hint="eastAsia" w:asciiTheme="minorEastAsia" w:hAnsiTheme="minorEastAsia" w:eastAsiaTheme="minorEastAsia" w:cstheme="minorEastAsia"/>
          <w:strike w:val="0"/>
          <w:color w:val="000000" w:themeColor="text1"/>
          <w:sz w:val="24"/>
          <w14:textFill>
            <w14:solidFill>
              <w14:schemeClr w14:val="tx1"/>
            </w14:solidFill>
          </w14:textFill>
        </w:rPr>
        <w:t>正本一份，副本</w:t>
      </w:r>
      <w:r>
        <w:rPr>
          <w:rFonts w:hint="eastAsia" w:asciiTheme="minorEastAsia" w:hAnsiTheme="minorEastAsia" w:eastAsiaTheme="minorEastAsia" w:cstheme="minorEastAsia"/>
          <w:strike w:val="0"/>
          <w:color w:val="000000" w:themeColor="text1"/>
          <w:sz w:val="24"/>
          <w:lang w:val="en-US" w:eastAsia="zh-CN"/>
          <w14:textFill>
            <w14:solidFill>
              <w14:schemeClr w14:val="tx1"/>
            </w14:solidFill>
          </w14:textFill>
        </w:rPr>
        <w:t>三</w:t>
      </w:r>
      <w:r>
        <w:rPr>
          <w:rFonts w:hint="eastAsia" w:asciiTheme="minorEastAsia" w:hAnsiTheme="minorEastAsia" w:eastAsiaTheme="minorEastAsia" w:cstheme="minorEastAsia"/>
          <w:strike w:val="0"/>
          <w:color w:val="000000" w:themeColor="text1"/>
          <w:sz w:val="24"/>
          <w14:textFill>
            <w14:solidFill>
              <w14:schemeClr w14:val="tx1"/>
            </w14:solidFill>
          </w14:textFill>
        </w:rPr>
        <w:t>份。</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4"/>
          <w14:textFill>
            <w14:solidFill>
              <w14:schemeClr w14:val="tx1"/>
            </w14:solidFill>
          </w14:textFill>
        </w:rPr>
        <w:t>.3、除投标人对错处做必要修改外，投标文件不得行间插字、涂改或增删，必要的修改处必须有投标人法人代表或其授权代表人签字并盖公章。</w:t>
      </w:r>
    </w:p>
    <w:p>
      <w:pPr>
        <w:widowControl w:val="0"/>
        <w:spacing w:line="48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4"/>
          <w14:textFill>
            <w14:solidFill>
              <w14:schemeClr w14:val="tx1"/>
            </w14:solidFill>
          </w14:textFill>
        </w:rPr>
        <w:t>.4、除特别说明外，全套投标文件的书面部分均使用A4规格纸张无线胶装方式装订，不得采用活页夹等可随时拆换的方式装订。</w:t>
      </w:r>
    </w:p>
    <w:p>
      <w:pPr>
        <w:widowControl w:val="0"/>
        <w:spacing w:line="480" w:lineRule="exact"/>
        <w:ind w:firstLine="480" w:firstLineChars="200"/>
        <w:rPr>
          <w:rFonts w:hint="eastAsia" w:asciiTheme="minorEastAsia" w:hAnsiTheme="minorEastAsia" w:eastAsiaTheme="minorEastAsia" w:cstheme="minorEastAsia"/>
          <w:strike w:val="0"/>
          <w:color w:val="000000" w:themeColor="text1"/>
          <w:highlight w:val="none"/>
          <w14:textFill>
            <w14:solidFill>
              <w14:schemeClr w14:val="tx1"/>
            </w14:solidFill>
          </w14:textFill>
        </w:rPr>
      </w:pPr>
      <w:r>
        <w:rPr>
          <w:rFonts w:hint="eastAsia" w:asciiTheme="minorEastAsia" w:hAnsiTheme="minorEastAsia" w:eastAsiaTheme="minorEastAsia" w:cstheme="minorEastAsia"/>
          <w:strike w:val="0"/>
          <w:color w:val="000000" w:themeColor="text1"/>
          <w:sz w:val="24"/>
          <w:highlight w:val="none"/>
          <w:lang w:val="en-US" w:eastAsia="zh-CN"/>
          <w14:textFill>
            <w14:solidFill>
              <w14:schemeClr w14:val="tx1"/>
            </w14:solidFill>
          </w14:textFill>
        </w:rPr>
        <w:t>9</w:t>
      </w:r>
      <w:r>
        <w:rPr>
          <w:rFonts w:hint="eastAsia" w:asciiTheme="minorEastAsia" w:hAnsiTheme="minorEastAsia" w:eastAsiaTheme="minorEastAsia" w:cstheme="minorEastAsia"/>
          <w:strike w:val="0"/>
          <w:color w:val="000000" w:themeColor="text1"/>
          <w:sz w:val="24"/>
          <w:highlight w:val="none"/>
          <w14:textFill>
            <w14:solidFill>
              <w14:schemeClr w14:val="tx1"/>
            </w14:solidFill>
          </w14:textFill>
        </w:rPr>
        <w:t>.5、</w:t>
      </w:r>
      <w:r>
        <w:rPr>
          <w:rFonts w:hint="eastAsia" w:asciiTheme="minorEastAsia" w:hAnsiTheme="minorEastAsia" w:eastAsiaTheme="minorEastAsia" w:cstheme="minorEastAsia"/>
          <w:strike w:val="0"/>
          <w:color w:val="000000" w:themeColor="text1"/>
          <w:sz w:val="24"/>
          <w:highlight w:val="none"/>
          <w:lang w:val="en-US" w:eastAsia="zh-CN"/>
          <w14:textFill>
            <w14:solidFill>
              <w14:schemeClr w14:val="tx1"/>
            </w14:solidFill>
          </w14:textFill>
        </w:rPr>
        <w:t>投标单位选择现场纸质投标的，</w:t>
      </w:r>
      <w:r>
        <w:rPr>
          <w:rFonts w:hint="eastAsia" w:asciiTheme="minorEastAsia" w:hAnsiTheme="minorEastAsia" w:eastAsiaTheme="minorEastAsia" w:cstheme="minorEastAsia"/>
          <w:strike w:val="0"/>
          <w:color w:val="000000" w:themeColor="text1"/>
          <w:sz w:val="24"/>
          <w:highlight w:val="none"/>
          <w14:textFill>
            <w14:solidFill>
              <w14:schemeClr w14:val="tx1"/>
            </w14:solidFill>
          </w14:textFill>
        </w:rPr>
        <w:t>应将投标文件正本和副本密封分别包装。密封件外层正面应注明投标人名称、项目名称、项目编号等字样，并在骑缝处加盖公章，因标注不清而产生的一切后果由</w:t>
      </w:r>
      <w:r>
        <w:rPr>
          <w:rFonts w:hint="eastAsia" w:asciiTheme="minorEastAsia" w:hAnsiTheme="minorEastAsia" w:eastAsiaTheme="minorEastAsia" w:cstheme="minorEastAsia"/>
          <w:strike w:val="0"/>
          <w:color w:val="000000" w:themeColor="text1"/>
          <w:sz w:val="24"/>
          <w:highlight w:val="none"/>
          <w:lang w:val="en-US" w:eastAsia="zh-CN"/>
          <w14:textFill>
            <w14:solidFill>
              <w14:schemeClr w14:val="tx1"/>
            </w14:solidFill>
          </w14:textFill>
        </w:rPr>
        <w:t>投标人</w:t>
      </w:r>
      <w:r>
        <w:rPr>
          <w:rFonts w:hint="eastAsia" w:asciiTheme="minorEastAsia" w:hAnsiTheme="minorEastAsia" w:eastAsiaTheme="minorEastAsia" w:cstheme="minorEastAsia"/>
          <w:strike w:val="0"/>
          <w:color w:val="000000" w:themeColor="text1"/>
          <w:sz w:val="24"/>
          <w:highlight w:val="none"/>
          <w14:textFill>
            <w14:solidFill>
              <w14:schemeClr w14:val="tx1"/>
            </w14:solidFill>
          </w14:textFill>
        </w:rPr>
        <w:t>自负。</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1</w:t>
      </w: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0</w:t>
      </w:r>
      <w:r>
        <w:rPr>
          <w:rFonts w:hint="eastAsia" w:asciiTheme="minorEastAsia" w:hAnsiTheme="minorEastAsia" w:eastAsiaTheme="minorEastAsia" w:cstheme="minorEastAsia"/>
          <w:b/>
          <w:color w:val="000000" w:themeColor="text1"/>
          <w:sz w:val="24"/>
          <w14:textFill>
            <w14:solidFill>
              <w14:schemeClr w14:val="tx1"/>
            </w14:solidFill>
          </w14:textFill>
        </w:rPr>
        <w:t>、投标报价</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4"/>
          <w14:textFill>
            <w14:solidFill>
              <w14:schemeClr w14:val="tx1"/>
            </w14:solidFill>
          </w14:textFill>
        </w:rPr>
        <w:t>.1报价为一次报价，于开标会议当场宣读。</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shd w:val="clear" w:color="auto" w:fill="FFC000"/>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4"/>
          <w14:textFill>
            <w14:solidFill>
              <w14:schemeClr w14:val="tx1"/>
            </w14:solidFill>
          </w14:textFill>
        </w:rPr>
        <w:t>.2本项目不接受备选的投标方案或有选择的报价，只允许有一个报价。投标报价内容包括：</w:t>
      </w:r>
      <w:bookmarkStart w:id="38" w:name="EB54dd097a55df4796bd5f9b6bdf2ddc40"/>
      <w:r>
        <w:rPr>
          <w:rFonts w:hint="eastAsia" w:asciiTheme="minorEastAsia" w:hAnsiTheme="minorEastAsia" w:eastAsiaTheme="minorEastAsia" w:cstheme="minorEastAsia"/>
          <w:color w:val="000000" w:themeColor="text1"/>
          <w:sz w:val="24"/>
          <w14:textFill>
            <w14:solidFill>
              <w14:schemeClr w14:val="tx1"/>
            </w14:solidFill>
          </w14:textFill>
        </w:rPr>
        <w:t>设备本身价格、运输、装卸、安装、调试、售后服务、税费、交付过程中涉及到的其他一切费用。</w:t>
      </w:r>
      <w:bookmarkEnd w:id="38"/>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4"/>
          <w14:textFill>
            <w14:solidFill>
              <w14:schemeClr w14:val="tx1"/>
            </w14:solidFill>
          </w14:textFill>
        </w:rPr>
        <w:t>.3报价注意事项：</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4"/>
          <w14:textFill>
            <w14:solidFill>
              <w14:schemeClr w14:val="tx1"/>
            </w14:solidFill>
          </w14:textFill>
        </w:rPr>
        <w:t>.3.1价格一律以人民币计算，以元为单位标准；</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0</w:t>
      </w:r>
      <w:r>
        <w:rPr>
          <w:rFonts w:hint="eastAsia" w:asciiTheme="minorEastAsia" w:hAnsiTheme="minorEastAsia" w:eastAsiaTheme="minorEastAsia" w:cstheme="minorEastAsia"/>
          <w:color w:val="000000" w:themeColor="text1"/>
          <w:sz w:val="24"/>
          <w14:textFill>
            <w14:solidFill>
              <w14:schemeClr w14:val="tx1"/>
            </w14:solidFill>
          </w14:textFill>
        </w:rPr>
        <w:t>.3.2投标人报价时应充分考虑所有可能影响到报价的因素，一旦评标结束最终中标，总价将包定，不予调整。如发生漏、缺、少项，都将被认为是中标人的报价让利行为，损失自负。</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1</w:t>
      </w: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1</w:t>
      </w:r>
      <w:r>
        <w:rPr>
          <w:rFonts w:hint="eastAsia" w:asciiTheme="minorEastAsia" w:hAnsiTheme="minorEastAsia" w:eastAsiaTheme="minorEastAsia" w:cstheme="minorEastAsia"/>
          <w:b/>
          <w:color w:val="000000" w:themeColor="text1"/>
          <w:sz w:val="24"/>
          <w14:textFill>
            <w14:solidFill>
              <w14:schemeClr w14:val="tx1"/>
            </w14:solidFill>
          </w14:textFill>
        </w:rPr>
        <w:t>、投标保证金</w:t>
      </w:r>
    </w:p>
    <w:p>
      <w:pPr>
        <w:widowControl w:val="0"/>
        <w:spacing w:line="500" w:lineRule="exact"/>
        <w:ind w:firstLine="480"/>
        <w:rPr>
          <w:rFonts w:hint="eastAsia" w:asciiTheme="minorEastAsia" w:hAnsiTheme="minorEastAsia" w:eastAsiaTheme="minorEastAsia" w:cstheme="minorEastAsia"/>
          <w:color w:val="000000" w:themeColor="text1"/>
          <w:sz w:val="24"/>
          <w14:textFill>
            <w14:solidFill>
              <w14:schemeClr w14:val="tx1"/>
            </w14:solidFill>
          </w14:textFill>
        </w:rPr>
      </w:pPr>
      <w:bookmarkStart w:id="39" w:name="EB183a0bf075204c54a4ff090f1aecaaa7"/>
      <w:r>
        <w:rPr>
          <w:rFonts w:hint="eastAsia" w:asciiTheme="minorEastAsia" w:hAnsiTheme="minorEastAsia" w:eastAsiaTheme="minorEastAsia" w:cstheme="minorEastAsia"/>
          <w:color w:val="000000" w:themeColor="text1"/>
          <w:sz w:val="24"/>
          <w14:textFill>
            <w14:solidFill>
              <w14:schemeClr w14:val="tx1"/>
            </w14:solidFill>
          </w14:textFill>
        </w:rPr>
        <w:t>详见投标人须知前附表。</w:t>
      </w:r>
      <w:bookmarkEnd w:id="39"/>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1</w:t>
      </w: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2</w:t>
      </w:r>
      <w:r>
        <w:rPr>
          <w:rFonts w:hint="eastAsia" w:asciiTheme="minorEastAsia" w:hAnsiTheme="minorEastAsia" w:eastAsiaTheme="minorEastAsia" w:cstheme="minorEastAsia"/>
          <w:b/>
          <w:color w:val="000000" w:themeColor="text1"/>
          <w:sz w:val="24"/>
          <w14:textFill>
            <w14:solidFill>
              <w14:schemeClr w14:val="tx1"/>
            </w14:solidFill>
          </w14:textFill>
        </w:rPr>
        <w:t>、投标有效期</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14:textFill>
            <w14:solidFill>
              <w14:schemeClr w14:val="tx1"/>
            </w14:solidFill>
          </w14:textFill>
        </w:rPr>
        <w:t xml:space="preserve">.1在投标人须知前附表规定的投标有效期内，投标人不得要求撤销或者修改其投标文件。 </w:t>
      </w:r>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40" w:name="_Toc63151895"/>
      <w:bookmarkStart w:id="41" w:name="_Toc256000007"/>
      <w:r>
        <w:rPr>
          <w:rFonts w:hint="eastAsia" w:asciiTheme="minorEastAsia" w:hAnsiTheme="minorEastAsia" w:eastAsiaTheme="minorEastAsia" w:cstheme="minorEastAsia"/>
          <w:color w:val="000000" w:themeColor="text1"/>
          <w14:textFill>
            <w14:solidFill>
              <w14:schemeClr w14:val="tx1"/>
            </w14:solidFill>
          </w14:textFill>
        </w:rPr>
        <w:t>四、投标文件的提交</w:t>
      </w:r>
      <w:bookmarkEnd w:id="40"/>
      <w:bookmarkEnd w:id="41"/>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1</w:t>
      </w: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3</w:t>
      </w:r>
      <w:r>
        <w:rPr>
          <w:rFonts w:hint="eastAsia" w:asciiTheme="minorEastAsia" w:hAnsiTheme="minorEastAsia" w:eastAsiaTheme="minorEastAsia" w:cstheme="minorEastAsia"/>
          <w:b/>
          <w:color w:val="000000" w:themeColor="text1"/>
          <w:sz w:val="24"/>
          <w14:textFill>
            <w14:solidFill>
              <w14:schemeClr w14:val="tx1"/>
            </w14:solidFill>
          </w14:textFill>
        </w:rPr>
        <w:t>、投标文件的提交</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14:textFill>
            <w14:solidFill>
              <w14:schemeClr w14:val="tx1"/>
            </w14:solidFill>
          </w14:textFill>
        </w:rPr>
        <w:t>.1投标人应在招标文件规定的投标截止时间前提交投标文件。</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投标人</w:t>
      </w:r>
      <w:r>
        <w:rPr>
          <w:rFonts w:hint="eastAsia" w:asciiTheme="minorEastAsia" w:hAnsiTheme="minorEastAsia" w:eastAsiaTheme="minorEastAsia" w:cstheme="minorEastAsia"/>
          <w:color w:val="000000" w:themeColor="text1"/>
          <w:sz w:val="24"/>
          <w14:textFill>
            <w14:solidFill>
              <w14:schemeClr w14:val="tx1"/>
            </w14:solidFill>
          </w14:textFill>
        </w:rPr>
        <w:t>未及时提交的，</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人不予受理。</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14:textFill>
            <w14:solidFill>
              <w14:schemeClr w14:val="tx1"/>
            </w14:solidFill>
          </w14:textFill>
        </w:rPr>
        <w:t>.2除招标文件另有规定外，投标人所提交的投标文件不予退还。</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14:textFill>
            <w14:solidFill>
              <w14:schemeClr w14:val="tx1"/>
            </w14:solidFill>
          </w14:textFill>
        </w:rPr>
        <w:t>.3投标文件的修改和撤回：在投标截止时间前，投标人可以撤回或重新提交投标文件，投标文件以最终递交的为准。</w:t>
      </w:r>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42" w:name="_Toc256000008"/>
      <w:bookmarkStart w:id="43" w:name="_Toc63151896"/>
      <w:r>
        <w:rPr>
          <w:rFonts w:hint="eastAsia" w:asciiTheme="minorEastAsia" w:hAnsiTheme="minorEastAsia" w:eastAsiaTheme="minorEastAsia" w:cstheme="minorEastAsia"/>
          <w:color w:val="000000" w:themeColor="text1"/>
          <w14:textFill>
            <w14:solidFill>
              <w14:schemeClr w14:val="tx1"/>
            </w14:solidFill>
          </w14:textFill>
        </w:rPr>
        <w:t>五、无效</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投</w:t>
      </w:r>
      <w:r>
        <w:rPr>
          <w:rFonts w:hint="eastAsia" w:asciiTheme="minorEastAsia" w:hAnsiTheme="minorEastAsia" w:eastAsiaTheme="minorEastAsia" w:cstheme="minorEastAsia"/>
          <w:strike w:val="0"/>
          <w:color w:val="000000" w:themeColor="text1"/>
          <w14:textFill>
            <w14:solidFill>
              <w14:schemeClr w14:val="tx1"/>
            </w14:solidFill>
          </w14:textFill>
        </w:rPr>
        <w:t>标、</w:t>
      </w:r>
      <w:r>
        <w:rPr>
          <w:rFonts w:hint="eastAsia" w:asciiTheme="minorEastAsia" w:hAnsiTheme="minorEastAsia" w:eastAsiaTheme="minorEastAsia" w:cstheme="minorEastAsia"/>
          <w:strike w:val="0"/>
          <w:color w:val="000000" w:themeColor="text1"/>
          <w:lang w:val="en-US" w:eastAsia="zh-CN"/>
          <w14:textFill>
            <w14:solidFill>
              <w14:schemeClr w14:val="tx1"/>
            </w14:solidFill>
          </w14:textFill>
        </w:rPr>
        <w:t>无效开标等</w:t>
      </w:r>
      <w:r>
        <w:rPr>
          <w:rFonts w:hint="eastAsia" w:asciiTheme="minorEastAsia" w:hAnsiTheme="minorEastAsia" w:eastAsiaTheme="minorEastAsia" w:cstheme="minorEastAsia"/>
          <w:color w:val="000000" w:themeColor="text1"/>
          <w14:textFill>
            <w14:solidFill>
              <w14:schemeClr w14:val="tx1"/>
            </w14:solidFill>
          </w14:textFill>
        </w:rPr>
        <w:t>认定条款</w:t>
      </w:r>
      <w:bookmarkEnd w:id="42"/>
      <w:bookmarkEnd w:id="43"/>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1</w:t>
      </w: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4</w:t>
      </w:r>
      <w:r>
        <w:rPr>
          <w:rFonts w:hint="eastAsia" w:asciiTheme="minorEastAsia" w:hAnsiTheme="minorEastAsia" w:eastAsiaTheme="minorEastAsia" w:cstheme="minorEastAsia"/>
          <w:b/>
          <w:color w:val="000000" w:themeColor="text1"/>
          <w:sz w:val="24"/>
          <w14:textFill>
            <w14:solidFill>
              <w14:schemeClr w14:val="tx1"/>
            </w14:solidFill>
          </w14:textFill>
        </w:rPr>
        <w:t>、无效投标条款</w:t>
      </w:r>
    </w:p>
    <w:p>
      <w:pPr>
        <w:pStyle w:val="35"/>
        <w:widowControl w:val="0"/>
        <w:spacing w:line="360" w:lineRule="auto"/>
        <w:rPr>
          <w:rFonts w:hint="eastAsia" w:asciiTheme="minorEastAsia" w:hAnsiTheme="minorEastAsia" w:eastAsiaTheme="minorEastAsia" w:cstheme="minorEastAsia"/>
          <w:color w:val="000000" w:themeColor="text1"/>
          <w14:textFill>
            <w14:solidFill>
              <w14:schemeClr w14:val="tx1"/>
            </w14:solidFill>
          </w14:textFill>
        </w:rPr>
      </w:pPr>
      <w:bookmarkStart w:id="44" w:name="EB94942e5430df4fb8a077f3cf7667f212"/>
      <w:r>
        <w:rPr>
          <w:rFonts w:hint="eastAsia" w:asciiTheme="minorEastAsia" w:hAnsiTheme="minorEastAsia" w:eastAsiaTheme="minorEastAsia" w:cstheme="minorEastAsia"/>
          <w:color w:val="000000" w:themeColor="text1"/>
          <w14:textFill>
            <w14:solidFill>
              <w14:schemeClr w14:val="tx1"/>
            </w14:solidFill>
          </w14:textFill>
        </w:rPr>
        <w:tab/>
      </w:r>
      <w:r>
        <w:rPr>
          <w:rFonts w:hint="eastAsia" w:asciiTheme="minorEastAsia" w:hAnsiTheme="minorEastAsia" w:eastAsiaTheme="minorEastAsia" w:cstheme="minorEastAsia"/>
          <w:color w:val="000000" w:themeColor="text1"/>
          <w14:textFill>
            <w14:solidFill>
              <w14:schemeClr w14:val="tx1"/>
            </w14:solidFill>
          </w14:textFill>
        </w:rPr>
        <w:t>1</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14:textFill>
            <w14:solidFill>
              <w14:schemeClr w14:val="tx1"/>
            </w14:solidFill>
          </w14:textFill>
        </w:rPr>
        <w:t>.1投标人不符合招标文件规定资格要求的或未按规定提交资质证件的；</w:t>
      </w:r>
    </w:p>
    <w:p>
      <w:pPr>
        <w:pStyle w:val="35"/>
        <w:widowControl w:val="0"/>
        <w:spacing w:line="360" w:lineRule="auto"/>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ab/>
      </w:r>
      <w:r>
        <w:rPr>
          <w:rFonts w:hint="eastAsia" w:asciiTheme="minorEastAsia" w:hAnsiTheme="minorEastAsia" w:eastAsiaTheme="minorEastAsia" w:cstheme="minorEastAsia"/>
          <w:color w:val="000000" w:themeColor="text1"/>
          <w14:textFill>
            <w14:solidFill>
              <w14:schemeClr w14:val="tx1"/>
            </w14:solidFill>
          </w14:textFill>
        </w:rPr>
        <w:t>1</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14:textFill>
            <w14:solidFill>
              <w14:schemeClr w14:val="tx1"/>
            </w14:solidFill>
          </w14:textFill>
        </w:rPr>
        <w:t>.2投标文件签署、盖章不符合招标文件要求的；</w:t>
      </w:r>
    </w:p>
    <w:p>
      <w:pPr>
        <w:pStyle w:val="35"/>
        <w:widowControl w:val="0"/>
        <w:spacing w:line="360" w:lineRule="auto"/>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ab/>
      </w:r>
      <w:r>
        <w:rPr>
          <w:rFonts w:hint="eastAsia" w:asciiTheme="minorEastAsia" w:hAnsiTheme="minorEastAsia" w:eastAsiaTheme="minorEastAsia" w:cstheme="minorEastAsia"/>
          <w:color w:val="000000" w:themeColor="text1"/>
          <w14:textFill>
            <w14:solidFill>
              <w14:schemeClr w14:val="tx1"/>
            </w14:solidFill>
          </w14:textFill>
        </w:rPr>
        <w:t>1</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14:textFill>
            <w14:solidFill>
              <w14:schemeClr w14:val="tx1"/>
            </w14:solidFill>
          </w14:textFill>
        </w:rPr>
        <w:t>.3未按招标文件要求提供投标文件或投标保证金；</w:t>
      </w:r>
    </w:p>
    <w:p>
      <w:pPr>
        <w:pStyle w:val="35"/>
        <w:widowControl w:val="0"/>
        <w:spacing w:line="360" w:lineRule="auto"/>
        <w:rPr>
          <w:rFonts w:hint="eastAsia" w:asciiTheme="minorEastAsia" w:hAnsiTheme="minorEastAsia" w:eastAsiaTheme="minorEastAsia" w:cstheme="minorEastAsia"/>
          <w:b/>
          <w:strike w:val="0"/>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ab/>
      </w:r>
      <w:bookmarkEnd w:id="44"/>
      <w:r>
        <w:rPr>
          <w:rFonts w:hint="eastAsia" w:asciiTheme="minorEastAsia" w:hAnsiTheme="minorEastAsia" w:eastAsiaTheme="minorEastAsia" w:cstheme="minorEastAsia"/>
          <w:b/>
          <w:strike w:val="0"/>
          <w:color w:val="000000" w:themeColor="text1"/>
          <w:sz w:val="24"/>
          <w14:textFill>
            <w14:solidFill>
              <w14:schemeClr w14:val="tx1"/>
            </w14:solidFill>
          </w14:textFill>
        </w:rPr>
        <w:t>1</w:t>
      </w:r>
      <w:r>
        <w:rPr>
          <w:rFonts w:hint="eastAsia" w:asciiTheme="minorEastAsia" w:hAnsiTheme="minorEastAsia" w:eastAsiaTheme="minorEastAsia" w:cstheme="minorEastAsia"/>
          <w:b/>
          <w:strike w:val="0"/>
          <w:color w:val="000000" w:themeColor="text1"/>
          <w:sz w:val="24"/>
          <w:lang w:val="en-US" w:eastAsia="zh-CN"/>
          <w14:textFill>
            <w14:solidFill>
              <w14:schemeClr w14:val="tx1"/>
            </w14:solidFill>
          </w14:textFill>
        </w:rPr>
        <w:t>5</w:t>
      </w:r>
      <w:r>
        <w:rPr>
          <w:rFonts w:hint="eastAsia" w:asciiTheme="minorEastAsia" w:hAnsiTheme="minorEastAsia" w:eastAsiaTheme="minorEastAsia" w:cstheme="minorEastAsia"/>
          <w:b/>
          <w:strike w:val="0"/>
          <w:color w:val="000000" w:themeColor="text1"/>
          <w:sz w:val="24"/>
          <w14:textFill>
            <w14:solidFill>
              <w14:schemeClr w14:val="tx1"/>
            </w14:solidFill>
          </w14:textFill>
        </w:rPr>
        <w:t>、</w:t>
      </w:r>
      <w:r>
        <w:rPr>
          <w:rFonts w:hint="eastAsia" w:asciiTheme="minorEastAsia" w:hAnsiTheme="minorEastAsia" w:eastAsiaTheme="minorEastAsia" w:cstheme="minorEastAsia"/>
          <w:b/>
          <w:strike w:val="0"/>
          <w:color w:val="000000" w:themeColor="text1"/>
          <w:sz w:val="24"/>
          <w:lang w:val="en-US" w:eastAsia="zh-CN"/>
          <w14:textFill>
            <w14:solidFill>
              <w14:schemeClr w14:val="tx1"/>
            </w14:solidFill>
          </w14:textFill>
        </w:rPr>
        <w:t>无效开标</w:t>
      </w:r>
      <w:r>
        <w:rPr>
          <w:rFonts w:hint="eastAsia" w:asciiTheme="minorEastAsia" w:hAnsiTheme="minorEastAsia" w:eastAsiaTheme="minorEastAsia" w:cstheme="minorEastAsia"/>
          <w:b/>
          <w:strike w:val="0"/>
          <w:color w:val="000000" w:themeColor="text1"/>
          <w:sz w:val="24"/>
          <w14:textFill>
            <w14:solidFill>
              <w14:schemeClr w14:val="tx1"/>
            </w14:solidFill>
          </w14:textFill>
        </w:rPr>
        <w:t>条款</w:t>
      </w:r>
    </w:p>
    <w:p>
      <w:pPr>
        <w:widowControl w:val="0"/>
        <w:snapToGrid w:val="0"/>
        <w:spacing w:line="500" w:lineRule="exact"/>
        <w:ind w:firstLine="480" w:firstLineChars="200"/>
        <w:rPr>
          <w:rFonts w:hint="eastAsia" w:asciiTheme="minorEastAsia" w:hAnsiTheme="minorEastAsia" w:eastAsiaTheme="minorEastAsia" w:cstheme="minorEastAsia"/>
          <w:color w:val="000000" w:themeColor="text1"/>
          <w:sz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highlight w:val="none"/>
          <w14:textFill>
            <w14:solidFill>
              <w14:schemeClr w14:val="tx1"/>
            </w14:solidFill>
          </w14:textFill>
        </w:rPr>
        <w:t>1</w:t>
      </w:r>
      <w:r>
        <w:rPr>
          <w:rFonts w:hint="eastAsia" w:asciiTheme="minorEastAsia" w:hAnsiTheme="minorEastAsia" w:eastAsiaTheme="minorEastAsia" w:cstheme="minorEastAsia"/>
          <w:color w:val="000000" w:themeColor="text1"/>
          <w:sz w:val="24"/>
          <w:highlight w:val="non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highlight w:val="none"/>
          <w14:textFill>
            <w14:solidFill>
              <w14:schemeClr w14:val="tx1"/>
            </w14:solidFill>
          </w14:textFill>
        </w:rPr>
        <w:t>.1符合专业条件的供应商或者对招标文件作实质响应的供应商不足三家的；</w:t>
      </w:r>
    </w:p>
    <w:p>
      <w:pPr>
        <w:widowControl w:val="0"/>
        <w:snapToGrid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14:textFill>
            <w14:solidFill>
              <w14:schemeClr w14:val="tx1"/>
            </w14:solidFill>
          </w14:textFill>
        </w:rPr>
        <w:t>.2出现影响采购公正的违法、违规行为的；</w:t>
      </w:r>
    </w:p>
    <w:p>
      <w:pPr>
        <w:widowControl w:val="0"/>
        <w:snapToGrid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14:textFill>
            <w14:solidFill>
              <w14:schemeClr w14:val="tx1"/>
            </w14:solidFill>
          </w14:textFill>
        </w:rPr>
        <w:t>.3投标人的报价均超过了采购预算；</w:t>
      </w:r>
    </w:p>
    <w:p>
      <w:pPr>
        <w:widowControl w:val="0"/>
        <w:snapToGrid w:val="0"/>
        <w:spacing w:line="500" w:lineRule="exact"/>
        <w:ind w:firstLine="480" w:firstLineChars="200"/>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15.4投标价超过限价的；</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16</w:t>
      </w:r>
      <w:r>
        <w:rPr>
          <w:rFonts w:hint="eastAsia" w:asciiTheme="minorEastAsia" w:hAnsiTheme="minorEastAsia" w:eastAsiaTheme="minorEastAsia" w:cstheme="minorEastAsia"/>
          <w:b/>
          <w:color w:val="000000" w:themeColor="text1"/>
          <w:sz w:val="24"/>
          <w14:textFill>
            <w14:solidFill>
              <w14:schemeClr w14:val="tx1"/>
            </w14:solidFill>
          </w14:textFill>
        </w:rPr>
        <w:t>、取消中标候选人资格条款</w:t>
      </w:r>
    </w:p>
    <w:p>
      <w:pPr>
        <w:widowControl w:val="0"/>
        <w:snapToGrid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16</w:t>
      </w:r>
      <w:r>
        <w:rPr>
          <w:rFonts w:hint="eastAsia" w:asciiTheme="minorEastAsia" w:hAnsiTheme="minorEastAsia" w:eastAsiaTheme="minorEastAsia" w:cstheme="minorEastAsia"/>
          <w:color w:val="000000" w:themeColor="text1"/>
          <w:sz w:val="24"/>
          <w14:textFill>
            <w14:solidFill>
              <w14:schemeClr w14:val="tx1"/>
            </w14:solidFill>
          </w14:textFill>
        </w:rPr>
        <w:t>.1提供虚假材料谋取中标的；</w:t>
      </w:r>
    </w:p>
    <w:p>
      <w:pPr>
        <w:widowControl w:val="0"/>
        <w:snapToGrid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16</w:t>
      </w:r>
      <w:r>
        <w:rPr>
          <w:rFonts w:hint="eastAsia" w:asciiTheme="minorEastAsia" w:hAnsiTheme="minorEastAsia" w:eastAsiaTheme="minorEastAsia" w:cstheme="minorEastAsia"/>
          <w:color w:val="000000" w:themeColor="text1"/>
          <w:sz w:val="24"/>
          <w14:textFill>
            <w14:solidFill>
              <w14:schemeClr w14:val="tx1"/>
            </w14:solidFill>
          </w14:textFill>
        </w:rPr>
        <w:t>.2采取不正当手段诋毁、排挤其他投标人的；</w:t>
      </w:r>
    </w:p>
    <w:p>
      <w:pPr>
        <w:widowControl w:val="0"/>
        <w:snapToGrid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16.3</w:t>
      </w:r>
      <w:r>
        <w:rPr>
          <w:rFonts w:hint="eastAsia" w:asciiTheme="minorEastAsia" w:hAnsiTheme="minorEastAsia" w:eastAsiaTheme="minorEastAsia" w:cstheme="minorEastAsia"/>
          <w:color w:val="000000" w:themeColor="text1"/>
          <w:sz w:val="24"/>
          <w14:textFill>
            <w14:solidFill>
              <w14:schemeClr w14:val="tx1"/>
            </w14:solidFill>
          </w14:textFill>
        </w:rPr>
        <w:t>向</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人行贿或者提供其他不正当利益的；</w:t>
      </w:r>
    </w:p>
    <w:p>
      <w:pPr>
        <w:widowControl w:val="0"/>
        <w:snapToGrid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16.4</w:t>
      </w:r>
      <w:r>
        <w:rPr>
          <w:rFonts w:hint="eastAsia" w:asciiTheme="minorEastAsia" w:hAnsiTheme="minorEastAsia" w:eastAsiaTheme="minorEastAsia" w:cstheme="minorEastAsia"/>
          <w:color w:val="000000" w:themeColor="text1"/>
          <w:sz w:val="24"/>
          <w14:textFill>
            <w14:solidFill>
              <w14:schemeClr w14:val="tx1"/>
            </w14:solidFill>
          </w14:textFill>
        </w:rPr>
        <w:t>未在规定时间内与</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人签订采购合同的；</w:t>
      </w:r>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45" w:name="_Toc63151897"/>
      <w:bookmarkStart w:id="46" w:name="_Toc256000009"/>
      <w:r>
        <w:rPr>
          <w:rFonts w:hint="eastAsia" w:asciiTheme="minorEastAsia" w:hAnsiTheme="minorEastAsia" w:eastAsiaTheme="minorEastAsia" w:cstheme="minorEastAsia"/>
          <w:color w:val="000000" w:themeColor="text1"/>
          <w14:textFill>
            <w14:solidFill>
              <w14:schemeClr w14:val="tx1"/>
            </w14:solidFill>
          </w14:textFill>
        </w:rPr>
        <w:t>六、开标、资格审查、评标程序</w:t>
      </w:r>
      <w:bookmarkEnd w:id="45"/>
      <w:bookmarkEnd w:id="46"/>
    </w:p>
    <w:p>
      <w:pPr>
        <w:widowControl w:val="0"/>
        <w:spacing w:line="500" w:lineRule="exact"/>
        <w:ind w:firstLine="480" w:firstLineChars="200"/>
        <w:rPr>
          <w:rFonts w:hint="eastAsia" w:asciiTheme="minorEastAsia" w:hAnsiTheme="minorEastAsia" w:eastAsiaTheme="minorEastAsia" w:cstheme="minorEastAsia"/>
          <w:b/>
          <w:strike/>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17</w:t>
      </w:r>
      <w:r>
        <w:rPr>
          <w:rFonts w:hint="eastAsia" w:asciiTheme="minorEastAsia" w:hAnsiTheme="minorEastAsia" w:eastAsiaTheme="minorEastAsia" w:cstheme="minorEastAsia"/>
          <w:b/>
          <w:color w:val="000000" w:themeColor="text1"/>
          <w:sz w:val="24"/>
          <w14:textFill>
            <w14:solidFill>
              <w14:schemeClr w14:val="tx1"/>
            </w14:solidFill>
          </w14:textFill>
        </w:rPr>
        <w:t>、开标</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公司财物部</w:t>
      </w:r>
      <w:r>
        <w:rPr>
          <w:rFonts w:hint="eastAsia" w:asciiTheme="minorEastAsia" w:hAnsiTheme="minorEastAsia" w:eastAsiaTheme="minorEastAsia" w:cstheme="minorEastAsia"/>
          <w:color w:val="000000" w:themeColor="text1"/>
          <w:sz w:val="24"/>
          <w14:textFill>
            <w14:solidFill>
              <w14:schemeClr w14:val="tx1"/>
            </w14:solidFill>
          </w14:textFill>
        </w:rPr>
        <w:t>按招标文件规定的时间、地点组织公开开标</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由公司评标委员会现场评标</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18</w:t>
      </w:r>
      <w:r>
        <w:rPr>
          <w:rFonts w:hint="eastAsia" w:asciiTheme="minorEastAsia" w:hAnsiTheme="minorEastAsia" w:eastAsiaTheme="minorEastAsia" w:cstheme="minorEastAsia"/>
          <w:b/>
          <w:color w:val="000000" w:themeColor="text1"/>
          <w:sz w:val="24"/>
          <w14:textFill>
            <w14:solidFill>
              <w14:schemeClr w14:val="tx1"/>
            </w14:solidFill>
          </w14:textFill>
        </w:rPr>
        <w:t>、资格审查</w:t>
      </w:r>
    </w:p>
    <w:p>
      <w:pPr>
        <w:widowControl w:val="0"/>
        <w:spacing w:line="500" w:lineRule="exact"/>
        <w:ind w:firstLine="480" w:firstLineChars="200"/>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bookmarkStart w:id="47" w:name="EBa9c0a2c9e523494487594c65b2a92370"/>
      <w:r>
        <w:rPr>
          <w:rFonts w:hint="eastAsia" w:asciiTheme="minorEastAsia" w:hAnsiTheme="minorEastAsia" w:eastAsiaTheme="minorEastAsia" w:cstheme="minorEastAsia"/>
          <w:color w:val="000000" w:themeColor="text1"/>
          <w:sz w:val="24"/>
          <w14:textFill>
            <w14:solidFill>
              <w14:schemeClr w14:val="tx1"/>
            </w14:solidFill>
          </w14:textFill>
        </w:rPr>
        <w:t>开标结束后，</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评标委员会</w:t>
      </w:r>
      <w:r>
        <w:rPr>
          <w:rFonts w:hint="eastAsia" w:asciiTheme="minorEastAsia" w:hAnsiTheme="minorEastAsia" w:eastAsiaTheme="minorEastAsia" w:cstheme="minorEastAsia"/>
          <w:color w:val="000000" w:themeColor="text1"/>
          <w:sz w:val="24"/>
          <w14:textFill>
            <w14:solidFill>
              <w14:schemeClr w14:val="tx1"/>
            </w14:solidFill>
          </w14:textFill>
        </w:rPr>
        <w:t>根据招标文件的规定对投标人的资格证明文件等进行审查。</w:t>
      </w:r>
      <w:bookmarkEnd w:id="47"/>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评标委派会可以组织相关人员对中标候选人进行考察。</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19</w:t>
      </w:r>
      <w:r>
        <w:rPr>
          <w:rFonts w:hint="eastAsia" w:asciiTheme="minorEastAsia" w:hAnsiTheme="minorEastAsia" w:eastAsiaTheme="minorEastAsia" w:cstheme="minorEastAsia"/>
          <w:b/>
          <w:color w:val="000000" w:themeColor="text1"/>
          <w:sz w:val="24"/>
          <w14:textFill>
            <w14:solidFill>
              <w14:schemeClr w14:val="tx1"/>
            </w14:solidFill>
          </w14:textFill>
        </w:rPr>
        <w:t>、评标原则</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“公平、公正、客观、择优”为评标的基本原则，评标委员会将根据这一原则，公正、平等地对待各投标人。</w:t>
      </w:r>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20</w:t>
      </w:r>
      <w:r>
        <w:rPr>
          <w:rFonts w:hint="eastAsia" w:asciiTheme="minorEastAsia" w:hAnsiTheme="minorEastAsia" w:eastAsiaTheme="minorEastAsia" w:cstheme="minorEastAsia"/>
          <w:b/>
          <w:color w:val="000000" w:themeColor="text1"/>
          <w:sz w:val="24"/>
          <w14:textFill>
            <w14:solidFill>
              <w14:schemeClr w14:val="tx1"/>
            </w14:solidFill>
          </w14:textFill>
        </w:rPr>
        <w:t>、评标程序</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4"/>
          <w14:textFill>
            <w14:solidFill>
              <w14:schemeClr w14:val="tx1"/>
            </w14:solidFill>
          </w14:textFill>
        </w:rPr>
        <w:t>.1符合性检查：审查、评价投标文件是否符合招标文件的商务、技术等实质性要求。评标委员会依据招标文件的规定，从投标文件的有效性、完整性和对招标文件的响应程度进行审查，以确定是否对招标文件的要求作出了实质性的响应。</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4"/>
          <w14:textFill>
            <w14:solidFill>
              <w14:schemeClr w14:val="tx1"/>
            </w14:solidFill>
          </w14:textFill>
        </w:rPr>
        <w:t>.2对投标文件中含义不明确、同类问题表述不一致或者有明显文字和计算错误的内容，评标委员会可以要求投标人作出必要的澄清、说明或者纠正。投标人的澄清、说明或者补正应当采用书面形式向评标委员会进行澄清回复。投标人的澄清、说明或者补正不得超出投标文件的范围或者改变投标文件的实质性内容。投标人的书面澄清、说明应加盖公章，或者由法定代表人或其授权的代表签字。</w:t>
      </w:r>
    </w:p>
    <w:p>
      <w:pPr>
        <w:widowControl w:val="0"/>
        <w:spacing w:line="500" w:lineRule="exact"/>
        <w:ind w:firstLine="600" w:firstLineChars="25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14:textFill>
            <w14:solidFill>
              <w14:schemeClr w14:val="tx1"/>
            </w14:solidFill>
          </w14:textFill>
        </w:rPr>
        <w:t>投标文件报价出现前后不一致的，除招标文件另有规定外，按照下列规定修正：</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①投标文件中开标一览表（报价表）内容与投标文件中相应内容不一致的，以开标一览表（报价表）为准；</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②大写金额和小写金额不一致的，以大写金额为准；</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③单价金额小数点或者百分比有明显错位的，以开标一览表的总价为准，并修改单价；</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④总价金额与按单价汇总金额不一致的，以单价金额计算结果为准。</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同时出现两种以上不一致的，按照前款规定的顺序修正。修正后的报价，经投标人确认后产生约束力，投标人不确认的，其投标无效。</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20.4</w:t>
      </w:r>
      <w:r>
        <w:rPr>
          <w:rFonts w:hint="eastAsia" w:asciiTheme="minorEastAsia" w:hAnsiTheme="minorEastAsia" w:eastAsiaTheme="minorEastAsia" w:cstheme="minorEastAsia"/>
          <w:color w:val="000000" w:themeColor="text1"/>
          <w:sz w:val="24"/>
          <w14:textFill>
            <w14:solidFill>
              <w14:schemeClr w14:val="tx1"/>
            </w14:solidFill>
          </w14:textFill>
        </w:rPr>
        <w:t>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14:textFill>
            <w14:solidFill>
              <w14:schemeClr w14:val="tx1"/>
            </w14:solidFill>
          </w14:textFill>
        </w:rPr>
        <w:t>比较。评标委员会将按招标文件中规定的评标方法和标准，对符合性检查合格的投标文件进行商务和技术评比。</w:t>
      </w:r>
    </w:p>
    <w:p>
      <w:pPr>
        <w:widowControl w:val="0"/>
        <w:spacing w:line="500" w:lineRule="exact"/>
        <w:ind w:firstLine="480" w:firstLineChars="20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14:textFill>
            <w14:solidFill>
              <w14:schemeClr w14:val="tx1"/>
            </w14:solidFill>
          </w14:textFill>
        </w:rPr>
        <w:t>推荐</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1名</w:t>
      </w:r>
      <w:r>
        <w:rPr>
          <w:rFonts w:hint="eastAsia" w:asciiTheme="minorEastAsia" w:hAnsiTheme="minorEastAsia" w:eastAsiaTheme="minorEastAsia" w:cstheme="minorEastAsia"/>
          <w:color w:val="000000" w:themeColor="text1"/>
          <w:sz w:val="24"/>
          <w14:textFill>
            <w14:solidFill>
              <w14:schemeClr w14:val="tx1"/>
            </w14:solidFill>
          </w14:textFill>
        </w:rPr>
        <w:t>中标候选人。评标委员会按照招标文件中规定的评标方法和标准推荐</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1名</w:t>
      </w:r>
      <w:r>
        <w:rPr>
          <w:rFonts w:hint="eastAsia" w:asciiTheme="minorEastAsia" w:hAnsiTheme="minorEastAsia" w:eastAsiaTheme="minorEastAsia" w:cstheme="minorEastAsia"/>
          <w:color w:val="000000" w:themeColor="text1"/>
          <w:sz w:val="24"/>
          <w14:textFill>
            <w14:solidFill>
              <w14:schemeClr w14:val="tx1"/>
            </w14:solidFill>
          </w14:textFill>
        </w:rPr>
        <w:t>中标候选人。</w:t>
      </w:r>
      <w:bookmarkStart w:id="48" w:name="EB5514f9b371d443648fc13fa8e895ebcf"/>
      <w:r>
        <w:rPr>
          <w:rFonts w:hint="eastAsia" w:asciiTheme="minorEastAsia" w:hAnsiTheme="minorEastAsia" w:eastAsiaTheme="minorEastAsia" w:cstheme="minorEastAsia"/>
          <w:color w:val="000000" w:themeColor="text1"/>
          <w:sz w:val="20"/>
          <w14:textFill>
            <w14:solidFill>
              <w14:schemeClr w14:val="tx1"/>
            </w14:solidFill>
          </w14:textFill>
        </w:rPr>
        <w:t xml:space="preserve"> </w:t>
      </w:r>
      <w:bookmarkEnd w:id="48"/>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49" w:name="_Toc63151898"/>
      <w:bookmarkStart w:id="50" w:name="_Toc256000010"/>
      <w:r>
        <w:rPr>
          <w:rFonts w:hint="eastAsia" w:asciiTheme="minorEastAsia" w:hAnsiTheme="minorEastAsia" w:eastAsiaTheme="minorEastAsia" w:cstheme="minorEastAsia"/>
          <w:color w:val="000000" w:themeColor="text1"/>
          <w14:textFill>
            <w14:solidFill>
              <w14:schemeClr w14:val="tx1"/>
            </w14:solidFill>
          </w14:textFill>
        </w:rPr>
        <w:t>七、中标及合同签订</w:t>
      </w:r>
      <w:bookmarkEnd w:id="49"/>
      <w:bookmarkEnd w:id="50"/>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21</w:t>
      </w:r>
      <w:r>
        <w:rPr>
          <w:rFonts w:hint="eastAsia" w:asciiTheme="minorEastAsia" w:hAnsiTheme="minorEastAsia" w:eastAsiaTheme="minorEastAsia" w:cstheme="minorEastAsia"/>
          <w:b/>
          <w:color w:val="000000" w:themeColor="text1"/>
          <w:sz w:val="24"/>
          <w14:textFill>
            <w14:solidFill>
              <w14:schemeClr w14:val="tx1"/>
            </w14:solidFill>
          </w14:textFill>
        </w:rPr>
        <w:t>、签订合同</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人与中标供应商应当在中标通知书发出之日起</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3个工作</w:t>
      </w:r>
      <w:r>
        <w:rPr>
          <w:rFonts w:hint="eastAsia" w:asciiTheme="minorEastAsia" w:hAnsiTheme="minorEastAsia" w:eastAsiaTheme="minorEastAsia" w:cstheme="minorEastAsia"/>
          <w:color w:val="000000" w:themeColor="text1"/>
          <w:sz w:val="24"/>
          <w14:textFill>
            <w14:solidFill>
              <w14:schemeClr w14:val="tx1"/>
            </w14:solidFill>
          </w14:textFill>
        </w:rPr>
        <w:t>日内签订采购合同。招标文件、中标人的投标文件以及评标过程中有关澄清文件均作为合同附件。</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4"/>
          <w14:textFill>
            <w14:solidFill>
              <w14:schemeClr w14:val="tx1"/>
            </w14:solidFill>
          </w14:textFill>
        </w:rPr>
        <w:t>.2中标供应商拒绝与</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人签订合同的，</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人可以</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没收投标保证金，</w:t>
      </w:r>
      <w:r>
        <w:rPr>
          <w:rFonts w:hint="eastAsia" w:asciiTheme="minorEastAsia" w:hAnsiTheme="minorEastAsia" w:eastAsiaTheme="minorEastAsia" w:cstheme="minorEastAsia"/>
          <w:color w:val="000000" w:themeColor="text1"/>
          <w:sz w:val="24"/>
          <w14:textFill>
            <w14:solidFill>
              <w14:schemeClr w14:val="tx1"/>
            </w14:solidFill>
          </w14:textFill>
        </w:rPr>
        <w:t>按照评审报告推荐的中标候选人名单排序，确定下一候选人为中标供应商，也可以重新开展采购活动。</w:t>
      </w:r>
    </w:p>
    <w:p>
      <w:pPr>
        <w:pStyle w:val="34"/>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51" w:name="_Toc63151899"/>
      <w:bookmarkStart w:id="52" w:name="_Toc256000011"/>
      <w:r>
        <w:rPr>
          <w:rFonts w:hint="eastAsia" w:asciiTheme="minorEastAsia" w:hAnsiTheme="minorEastAsia" w:eastAsiaTheme="minorEastAsia" w:cstheme="minorEastAsia"/>
          <w:color w:val="000000" w:themeColor="text1"/>
          <w14:textFill>
            <w14:solidFill>
              <w14:schemeClr w14:val="tx1"/>
            </w14:solidFill>
          </w14:textFill>
        </w:rPr>
        <w:t>八、验收及付款</w:t>
      </w:r>
      <w:bookmarkEnd w:id="51"/>
      <w:bookmarkEnd w:id="52"/>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22</w:t>
      </w:r>
      <w:r>
        <w:rPr>
          <w:rFonts w:hint="eastAsia" w:asciiTheme="minorEastAsia" w:hAnsiTheme="minorEastAsia" w:eastAsiaTheme="minorEastAsia" w:cstheme="minorEastAsia"/>
          <w:b/>
          <w:color w:val="000000" w:themeColor="text1"/>
          <w:sz w:val="24"/>
          <w14:textFill>
            <w14:solidFill>
              <w14:schemeClr w14:val="tx1"/>
            </w14:solidFill>
          </w14:textFill>
        </w:rPr>
        <w:t>、验收</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bookmarkStart w:id="53" w:name="EBbbb2492ed6b84c9193a6bb6f72a512f3"/>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人应当组成验收小组，验收人员应当按照</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约定的验收标准，对供应商的履约情况开展验收。验收结束后，验收人员应当出具验收报告并签字。</w:t>
      </w:r>
      <w:bookmarkEnd w:id="53"/>
    </w:p>
    <w:p>
      <w:pPr>
        <w:widowControl w:val="0"/>
        <w:spacing w:line="500" w:lineRule="exact"/>
        <w:ind w:firstLine="480" w:firstLineChars="200"/>
        <w:rPr>
          <w:rFonts w:hint="eastAsia"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val="en-US" w:eastAsia="zh-CN"/>
          <w14:textFill>
            <w14:solidFill>
              <w14:schemeClr w14:val="tx1"/>
            </w14:solidFill>
          </w14:textFill>
        </w:rPr>
        <w:t>23</w:t>
      </w:r>
      <w:r>
        <w:rPr>
          <w:rFonts w:hint="eastAsia" w:asciiTheme="minorEastAsia" w:hAnsiTheme="minorEastAsia" w:eastAsiaTheme="minorEastAsia" w:cstheme="minorEastAsia"/>
          <w:b/>
          <w:color w:val="000000" w:themeColor="text1"/>
          <w:sz w:val="24"/>
          <w14:textFill>
            <w14:solidFill>
              <w14:schemeClr w14:val="tx1"/>
            </w14:solidFill>
          </w14:textFill>
        </w:rPr>
        <w:t>、付款</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bookmarkStart w:id="54" w:name="EBf0da31fab3a04ad0893de83144a87b34"/>
      <w:r>
        <w:rPr>
          <w:rFonts w:hint="eastAsia" w:asciiTheme="minorEastAsia" w:hAnsiTheme="minorEastAsia" w:eastAsiaTheme="minorEastAsia" w:cstheme="minorEastAsia"/>
          <w:color w:val="000000" w:themeColor="text1"/>
          <w:sz w:val="24"/>
          <w14:textFill>
            <w14:solidFill>
              <w14:schemeClr w14:val="tx1"/>
            </w14:solidFill>
          </w14:textFill>
        </w:rPr>
        <w:t>按照招标文件和合同约定的付款方式，</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w:t>
      </w:r>
      <w:r>
        <w:rPr>
          <w:rFonts w:hint="eastAsia" w:asciiTheme="minorEastAsia" w:hAnsiTheme="minorEastAsia" w:eastAsiaTheme="minorEastAsia" w:cstheme="minorEastAsia"/>
          <w:color w:val="000000" w:themeColor="text1"/>
          <w:sz w:val="24"/>
          <w14:textFill>
            <w14:solidFill>
              <w14:schemeClr w14:val="tx1"/>
            </w14:solidFill>
          </w14:textFill>
        </w:rPr>
        <w:t>人及时办理付款手续。对于满足合同约定支付条件的，自收到</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税率为13%增值税专用</w:t>
      </w:r>
      <w:r>
        <w:rPr>
          <w:rFonts w:hint="eastAsia" w:asciiTheme="minorEastAsia" w:hAnsiTheme="minorEastAsia" w:eastAsiaTheme="minorEastAsia" w:cstheme="minorEastAsia"/>
          <w:color w:val="000000" w:themeColor="text1"/>
          <w:sz w:val="24"/>
          <w14:textFill>
            <w14:solidFill>
              <w14:schemeClr w14:val="tx1"/>
            </w14:solidFill>
          </w14:textFill>
        </w:rPr>
        <w:t>发票</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及相关资料</w:t>
      </w:r>
      <w:r>
        <w:rPr>
          <w:rFonts w:hint="eastAsia" w:asciiTheme="minorEastAsia" w:hAnsiTheme="minorEastAsia" w:eastAsiaTheme="minorEastAsia" w:cstheme="minorEastAsia"/>
          <w:color w:val="000000" w:themeColor="text1"/>
          <w:sz w:val="24"/>
          <w14:textFill>
            <w14:solidFill>
              <w14:schemeClr w14:val="tx1"/>
            </w14:solidFill>
          </w14:textFill>
        </w:rPr>
        <w:t>后</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7个工作</w:t>
      </w:r>
      <w:r>
        <w:rPr>
          <w:rFonts w:hint="eastAsia" w:asciiTheme="minorEastAsia" w:hAnsiTheme="minorEastAsia" w:eastAsiaTheme="minorEastAsia" w:cstheme="minorEastAsia"/>
          <w:color w:val="000000" w:themeColor="text1"/>
          <w:sz w:val="24"/>
          <w14:textFill>
            <w14:solidFill>
              <w14:schemeClr w14:val="tx1"/>
            </w14:solidFill>
          </w14:textFill>
        </w:rPr>
        <w:t>日内将资金支付到合同约定的供应商账户。</w:t>
      </w:r>
      <w:bookmarkEnd w:id="54"/>
    </w:p>
    <w:p>
      <w:pPr>
        <w:pStyle w:val="34"/>
        <w:widowControl w:val="0"/>
        <w:outlineLvl w:val="1"/>
        <w:rPr>
          <w:rFonts w:hint="default" w:asciiTheme="minorEastAsia" w:hAnsiTheme="minorEastAsia" w:eastAsiaTheme="minorEastAsia" w:cstheme="minorEastAsia"/>
          <w:color w:val="000000" w:themeColor="text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售后服务</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售后服务包含对招标人操作人员的培训，中标人须选派</w:t>
      </w:r>
      <w:r>
        <w:rPr>
          <w:rFonts w:hint="eastAsia" w:asciiTheme="minorEastAsia" w:hAnsiTheme="minorEastAsia" w:eastAsiaTheme="minorEastAsia" w:cstheme="minorEastAsia"/>
          <w:color w:val="000000" w:themeColor="text1"/>
          <w:sz w:val="24"/>
          <w14:textFill>
            <w14:solidFill>
              <w14:schemeClr w14:val="tx1"/>
            </w14:solidFill>
          </w14:textFill>
        </w:rPr>
        <w:t>有设备操作、管理、维护经验的工程师进行优质的培训服务。对设备的使用、操作、维护、故障排除等进行免费培训，并提供安装使用维护说明书，以确保</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招标人操作人员</w:t>
      </w:r>
      <w:r>
        <w:rPr>
          <w:rFonts w:hint="eastAsia" w:asciiTheme="minorEastAsia" w:hAnsiTheme="minorEastAsia" w:eastAsiaTheme="minorEastAsia" w:cstheme="minorEastAsia"/>
          <w:color w:val="000000" w:themeColor="text1"/>
          <w:sz w:val="24"/>
          <w14:textFill>
            <w14:solidFill>
              <w14:schemeClr w14:val="tx1"/>
            </w14:solidFill>
          </w14:textFill>
        </w:rPr>
        <w:t>能够对设备有足够的了解，能够独立进行日常操作、管理和维护。</w:t>
      </w:r>
    </w:p>
    <w:p>
      <w:pPr>
        <w:widowControl w:val="0"/>
        <w:spacing w:line="50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所有的培训费用包括差旅、食宿、教材、资料等，均计入投标报价中。必须为所有被培训人员提供培训用</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中文</w:t>
      </w:r>
      <w:r>
        <w:rPr>
          <w:rFonts w:hint="eastAsia" w:asciiTheme="minorEastAsia" w:hAnsiTheme="minorEastAsia" w:eastAsiaTheme="minorEastAsia" w:cstheme="minorEastAsia"/>
          <w:color w:val="000000" w:themeColor="text1"/>
          <w:sz w:val="24"/>
          <w14:textFill>
            <w14:solidFill>
              <w14:schemeClr w14:val="tx1"/>
            </w14:solidFill>
          </w14:textFill>
        </w:rPr>
        <w:t>资料和讲义等相关用品</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14:textFill>
            <w14:solidFill>
              <w14:schemeClr w14:val="tx1"/>
            </w14:solidFill>
          </w14:textFill>
        </w:rPr>
        <w:t>资料的费用</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也</w:t>
      </w:r>
      <w:r>
        <w:rPr>
          <w:rFonts w:hint="eastAsia" w:asciiTheme="minorEastAsia" w:hAnsiTheme="minorEastAsia" w:eastAsiaTheme="minorEastAsia" w:cstheme="minorEastAsia"/>
          <w:color w:val="000000" w:themeColor="text1"/>
          <w:sz w:val="24"/>
          <w14:textFill>
            <w14:solidFill>
              <w14:schemeClr w14:val="tx1"/>
            </w14:solidFill>
          </w14:textFill>
        </w:rPr>
        <w:t>包含在投标报价内。</w:t>
      </w:r>
    </w:p>
    <w:p>
      <w:pPr>
        <w:widowControl w:val="0"/>
        <w:spacing w:line="500" w:lineRule="exact"/>
        <w:ind w:firstLine="480" w:firstLineChars="200"/>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售后服务包括的其他内容详见“第四部分 采购需求”中“四、售后服务要求”部分。</w:t>
      </w:r>
    </w:p>
    <w:p>
      <w:pPr>
        <w:keepNext/>
        <w:keepLines/>
        <w:pageBreakBefore/>
        <w:widowControl w:val="0"/>
        <w:ind w:firstLine="0" w:firstLineChars="0"/>
        <w:jc w:val="center"/>
        <w:outlineLvl w:val="0"/>
        <w:rPr>
          <w:rFonts w:hint="eastAsia" w:asciiTheme="minorEastAsia" w:hAnsiTheme="minorEastAsia" w:eastAsiaTheme="minorEastAsia" w:cstheme="minorEastAsia"/>
          <w:b/>
          <w:color w:val="000000" w:themeColor="text1"/>
          <w:sz w:val="36"/>
          <w:szCs w:val="36"/>
          <w14:textFill>
            <w14:solidFill>
              <w14:schemeClr w14:val="tx1"/>
            </w14:solidFill>
          </w14:textFill>
        </w:rPr>
      </w:pPr>
      <w:bookmarkStart w:id="55" w:name="_Toc63151901"/>
      <w:bookmarkStart w:id="56" w:name="_Toc256000013"/>
      <w:r>
        <w:rPr>
          <w:rFonts w:hint="eastAsia" w:asciiTheme="minorEastAsia" w:hAnsiTheme="minorEastAsia" w:eastAsiaTheme="minorEastAsia" w:cstheme="minorEastAsia"/>
          <w:b/>
          <w:color w:val="000000" w:themeColor="text1"/>
          <w:sz w:val="36"/>
          <w:szCs w:val="36"/>
          <w14:textFill>
            <w14:solidFill>
              <w14:schemeClr w14:val="tx1"/>
            </w14:solidFill>
          </w14:textFill>
        </w:rPr>
        <w:t>第三部分  资格审查及评标办法</w:t>
      </w:r>
      <w:bookmarkEnd w:id="55"/>
      <w:bookmarkEnd w:id="56"/>
    </w:p>
    <w:p>
      <w:pPr>
        <w:pStyle w:val="3"/>
        <w:spacing w:before="157" w:beforeLines="50" w:after="0" w:line="240" w:lineRule="auto"/>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3.1、资格审查</w:t>
      </w:r>
    </w:p>
    <w:p>
      <w:pPr>
        <w:widowControl w:val="0"/>
        <w:ind w:firstLine="42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资格审查人员按照下列指标对各投标人的资格进行审查，未通过审查的为无效标，不参与评标。</w:t>
      </w:r>
    </w:p>
    <w:tbl>
      <w:tblPr>
        <w:tblStyle w:val="14"/>
        <w:tblW w:w="5025" w:type="pct"/>
        <w:tblInd w:w="-24"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4850"/>
        <w:gridCol w:w="4852"/>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PrEx>
        <w:trPr>
          <w:trHeight w:val="454" w:hRule="atLeast"/>
        </w:trPr>
        <w:tc>
          <w:tcPr>
            <w:tcW w:w="2499" w:type="pct"/>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资格审查因素</w:t>
            </w:r>
          </w:p>
        </w:tc>
        <w:tc>
          <w:tcPr>
            <w:tcW w:w="2500" w:type="pct"/>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审查标准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投标声明及承诺函</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投标人营业执照</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投标保证金</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spacing w:line="400" w:lineRule="exact"/>
              <w:ind w:firstLine="420"/>
              <w:jc w:val="center"/>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符合招标文件要求</w:t>
            </w:r>
          </w:p>
        </w:tc>
      </w:tr>
    </w:tbl>
    <w:p>
      <w:pPr>
        <w:pStyle w:val="3"/>
        <w:spacing w:before="140" w:after="140" w:line="240" w:lineRule="auto"/>
        <w:rPr>
          <w:rFonts w:hint="eastAsia" w:asciiTheme="minorEastAsia" w:hAnsiTheme="minorEastAsia" w:eastAsiaTheme="minorEastAsia" w:cstheme="minorEastAsia"/>
          <w:strike w:val="0"/>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3.2、评分办法</w:t>
      </w:r>
    </w:p>
    <w:p>
      <w:pPr>
        <w:spacing w:line="500" w:lineRule="exact"/>
        <w:ind w:firstLine="480" w:firstLineChars="200"/>
        <w:jc w:val="left"/>
        <w:rPr>
          <w:rFonts w:hint="eastAsia" w:asciiTheme="minorEastAsia" w:hAnsiTheme="minorEastAsia" w:eastAsiaTheme="minorEastAsia" w:cstheme="minorEastAsia"/>
          <w:strike/>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1、评标办法：</w:t>
      </w:r>
      <w:r>
        <w:rPr>
          <w:rFonts w:hint="eastAsia" w:asciiTheme="minorEastAsia" w:hAnsiTheme="minorEastAsia" w:eastAsiaTheme="minorEastAsia" w:cstheme="minorEastAsia"/>
          <w:sz w:val="24"/>
        </w:rPr>
        <w:t>本项目采用综合评分办法，评标委员会严格按照招标文件规定的评分标准和要求，对各投标文件进行综合评审，按评审后得分由高到低顺序对投标人进行排序。得分相同的，按投标报价由低到高顺序排序。得分且投标报价相同的按项目实施方案得分由高到低顺序排序。</w:t>
      </w:r>
      <w:r>
        <w:rPr>
          <w:rFonts w:hint="eastAsia" w:asciiTheme="minorEastAsia" w:hAnsiTheme="minorEastAsia" w:eastAsiaTheme="minorEastAsia" w:cstheme="minorEastAsia"/>
          <w:color w:val="000000" w:themeColor="text1"/>
          <w:sz w:val="24"/>
          <w14:textFill>
            <w14:solidFill>
              <w14:schemeClr w14:val="tx1"/>
            </w14:solidFill>
          </w14:textFill>
        </w:rPr>
        <w:t>评标委员会根据评审后</w:t>
      </w:r>
      <w:r>
        <w:rPr>
          <w:rFonts w:hint="eastAsia" w:asciiTheme="minorEastAsia" w:hAnsiTheme="minorEastAsia" w:eastAsiaTheme="minorEastAsia" w:cstheme="minorEastAsia"/>
          <w:sz w:val="24"/>
        </w:rPr>
        <w:t>排序第一的投标人为</w:t>
      </w:r>
      <w:r>
        <w:rPr>
          <w:rFonts w:hint="eastAsia" w:asciiTheme="minorEastAsia" w:hAnsiTheme="minorEastAsia" w:eastAsiaTheme="minorEastAsia" w:cstheme="minorEastAsia"/>
          <w:color w:val="000000" w:themeColor="text1"/>
          <w:sz w:val="24"/>
          <w14:textFill>
            <w14:solidFill>
              <w14:schemeClr w14:val="tx1"/>
            </w14:solidFill>
          </w14:textFill>
        </w:rPr>
        <w:t>中标候选人。</w:t>
      </w:r>
    </w:p>
    <w:p>
      <w:pPr>
        <w:widowControl w:val="0"/>
        <w:spacing w:line="500" w:lineRule="exact"/>
        <w:ind w:firstLine="480" w:firstLineChars="200"/>
        <w:jc w:val="left"/>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2、符合性审查。</w:t>
      </w:r>
      <w:r>
        <w:rPr>
          <w:rFonts w:hint="eastAsia" w:asciiTheme="minorEastAsia" w:hAnsiTheme="minorEastAsia" w:eastAsiaTheme="minorEastAsia" w:cstheme="minorEastAsia"/>
          <w:color w:val="000000" w:themeColor="text1"/>
          <w:sz w:val="24"/>
          <w14:textFill>
            <w14:solidFill>
              <w14:schemeClr w14:val="tx1"/>
            </w14:solidFill>
          </w14:textFill>
        </w:rPr>
        <w:t>评标委员会首先按照下列指标对各投标人的投标文件进行符合性审查，未通过审查的为无效标，不再参与评审。</w:t>
      </w:r>
    </w:p>
    <w:tbl>
      <w:tblPr>
        <w:tblStyle w:val="14"/>
        <w:tblW w:w="5000" w:type="pct"/>
        <w:tblInd w:w="-24"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4827"/>
        <w:gridCol w:w="4827"/>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82" w:hRule="atLeast"/>
        </w:trPr>
        <w:tc>
          <w:tcPr>
            <w:tcW w:w="2500" w:type="pct"/>
            <w:tcBorders>
              <w:top w:val="outset" w:color="auto" w:sz="6" w:space="0"/>
              <w:left w:val="outset" w:color="auto" w:sz="6" w:space="0"/>
              <w:bottom w:val="outset" w:color="auto" w:sz="6" w:space="0"/>
              <w:right w:val="outset" w:color="auto" w:sz="6" w:space="0"/>
            </w:tcBorders>
            <w:noWrap w:val="0"/>
            <w:vAlign w:val="center"/>
          </w:tcPr>
          <w:p>
            <w:pPr>
              <w:widowControl w:val="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符合性审查因素</w:t>
            </w:r>
          </w:p>
        </w:tc>
        <w:tc>
          <w:tcPr>
            <w:tcW w:w="2500" w:type="pct"/>
            <w:tcBorders>
              <w:top w:val="outset" w:color="auto" w:sz="6" w:space="0"/>
              <w:left w:val="outset" w:color="auto" w:sz="6" w:space="0"/>
              <w:bottom w:val="outset" w:color="auto" w:sz="6" w:space="0"/>
              <w:right w:val="outset" w:color="auto" w:sz="6" w:space="0"/>
            </w:tcBorders>
            <w:noWrap w:val="0"/>
            <w:vAlign w:val="center"/>
          </w:tcPr>
          <w:p>
            <w:pPr>
              <w:widowControl w:val="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审查标准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82" w:hRule="atLeast"/>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法定代表人身份证明或授权委托书</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82" w:hRule="atLeast"/>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开标一览表及投标报价</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格式、填写要求符合招标文件规定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82" w:hRule="atLeast"/>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技术标准和要求</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82" w:hRule="atLeast"/>
        </w:trPr>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其他</w:t>
            </w:r>
          </w:p>
        </w:tc>
        <w:tc>
          <w:tcPr>
            <w:tcW w:w="0" w:type="auto"/>
            <w:tcBorders>
              <w:top w:val="outset" w:color="auto" w:sz="6" w:space="0"/>
              <w:left w:val="outset" w:color="auto" w:sz="6" w:space="0"/>
              <w:bottom w:val="outset" w:color="auto" w:sz="6" w:space="0"/>
              <w:right w:val="outset" w:color="auto" w:sz="6" w:space="0"/>
            </w:tcBorders>
            <w:noWrap w:val="0"/>
            <w:vAlign w:val="center"/>
          </w:tcPr>
          <w:p>
            <w:pPr>
              <w:widowControl w:val="0"/>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符合招标文件要求</w:t>
            </w:r>
          </w:p>
        </w:tc>
      </w:tr>
    </w:tbl>
    <w:p>
      <w:pPr>
        <w:spacing w:line="500" w:lineRule="exact"/>
        <w:ind w:firstLine="480" w:firstLineChars="200"/>
        <w:jc w:val="lef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
          <w:sz w:val="24"/>
        </w:rPr>
        <w:t>3、详细评审。</w:t>
      </w:r>
      <w:r>
        <w:rPr>
          <w:rFonts w:hint="eastAsia" w:asciiTheme="minorEastAsia" w:hAnsiTheme="minorEastAsia" w:eastAsiaTheme="minorEastAsia" w:cstheme="minorEastAsia"/>
          <w:sz w:val="24"/>
        </w:rPr>
        <w:t>评标委员会按照招标文件规定的评分标准，对各投标文件进行详细评审打分，总分100分。评标委员会组长对各评审专家的打分情况进行复核无误后汇总，形成评审报告。</w:t>
      </w:r>
    </w:p>
    <w:tbl>
      <w:tblPr>
        <w:tblStyle w:val="14"/>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8"/>
        <w:gridCol w:w="1276"/>
        <w:gridCol w:w="850"/>
        <w:gridCol w:w="6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44" w:type="dxa"/>
            <w:gridSpan w:val="2"/>
            <w:noWrap w:val="0"/>
            <w:vAlign w:val="center"/>
          </w:tcPr>
          <w:p>
            <w:pPr>
              <w:spacing w:line="320" w:lineRule="exact"/>
              <w:jc w:val="both"/>
              <w:rPr>
                <w:rFonts w:hint="eastAsia" w:asciiTheme="minorEastAsia" w:hAnsiTheme="minorEastAsia" w:eastAsiaTheme="minorEastAsia" w:cstheme="minorEastAsia"/>
                <w:sz w:val="24"/>
                <w:szCs w:val="24"/>
              </w:rPr>
            </w:pPr>
            <w:bookmarkStart w:id="57" w:name="EBe0cfd1035ea44f689f97db50fccddc8b"/>
            <w:r>
              <w:rPr>
                <w:rFonts w:hint="eastAsia" w:asciiTheme="minorEastAsia" w:hAnsiTheme="minorEastAsia" w:eastAsiaTheme="minorEastAsia" w:cstheme="minorEastAsia"/>
                <w:sz w:val="24"/>
                <w:szCs w:val="24"/>
              </w:rPr>
              <w:t>评审因素</w:t>
            </w:r>
          </w:p>
        </w:tc>
        <w:tc>
          <w:tcPr>
            <w:tcW w:w="850" w:type="dxa"/>
            <w:noWrap w:val="0"/>
            <w:vAlign w:val="center"/>
          </w:tcPr>
          <w:p>
            <w:pPr>
              <w:spacing w:line="320" w:lineRule="exact"/>
              <w:ind w:left="0" w:leftChars="0" w:firstLine="0" w:firstLineChars="0"/>
              <w:jc w:val="both"/>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分数</w:t>
            </w:r>
          </w:p>
        </w:tc>
        <w:tc>
          <w:tcPr>
            <w:tcW w:w="6088" w:type="dxa"/>
            <w:noWrap w:val="0"/>
            <w:vAlign w:val="center"/>
          </w:tcPr>
          <w:p>
            <w:pPr>
              <w:spacing w:line="32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68"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报价分</w:t>
            </w:r>
          </w:p>
        </w:tc>
        <w:tc>
          <w:tcPr>
            <w:tcW w:w="1276"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投标报价</w:t>
            </w:r>
          </w:p>
        </w:tc>
        <w:tc>
          <w:tcPr>
            <w:tcW w:w="850" w:type="dxa"/>
            <w:noWrap w:val="0"/>
            <w:vAlign w:val="center"/>
          </w:tcPr>
          <w:p>
            <w:pPr>
              <w:spacing w:line="320" w:lineRule="exact"/>
              <w:ind w:left="0" w:leftChars="0" w:firstLine="0" w:firstLineChars="0"/>
              <w:jc w:val="both"/>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lang w:val="en-US" w:eastAsia="zh-CN"/>
              </w:rPr>
              <w:t>70</w:t>
            </w:r>
            <w:r>
              <w:rPr>
                <w:rFonts w:hint="eastAsia" w:asciiTheme="minorEastAsia" w:hAnsiTheme="minorEastAsia" w:eastAsiaTheme="minorEastAsia" w:cstheme="minorEastAsia"/>
                <w:szCs w:val="24"/>
              </w:rPr>
              <w:t>分</w:t>
            </w:r>
          </w:p>
        </w:tc>
        <w:tc>
          <w:tcPr>
            <w:tcW w:w="6088" w:type="dxa"/>
            <w:noWrap w:val="0"/>
            <w:vAlign w:val="center"/>
          </w:tcPr>
          <w:p>
            <w:pPr>
              <w:spacing w:line="380" w:lineRule="exact"/>
              <w:ind w:firstLine="480" w:firstLineChars="200"/>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color w:val="auto"/>
                <w:szCs w:val="24"/>
              </w:rPr>
              <w:t>采用低价优先法计算，即满足招标文件要求且投标价格最低的投标报价为评标基准价，其价格分为满分。其他投标人投标报价得分＝（评标基准价/投标报价）*</w:t>
            </w:r>
            <w:r>
              <w:rPr>
                <w:rFonts w:hint="eastAsia" w:asciiTheme="minorEastAsia" w:hAnsiTheme="minorEastAsia" w:eastAsiaTheme="minorEastAsia" w:cstheme="minorEastAsia"/>
                <w:color w:val="auto"/>
                <w:szCs w:val="24"/>
                <w:lang w:val="en-US" w:eastAsia="zh-CN"/>
              </w:rPr>
              <w:t>7</w:t>
            </w:r>
            <w:r>
              <w:rPr>
                <w:rFonts w:hint="eastAsia" w:asciiTheme="minorEastAsia" w:hAnsiTheme="minorEastAsia" w:eastAsiaTheme="minorEastAsia" w:cstheme="minorEastAsia"/>
                <w:color w:val="auto"/>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68" w:type="dxa"/>
            <w:noWrap w:val="0"/>
            <w:vAlign w:val="center"/>
          </w:tcPr>
          <w:p>
            <w:pPr>
              <w:spacing w:line="320" w:lineRule="exact"/>
              <w:ind w:left="0" w:leftChars="0" w:firstLine="0" w:firstLineChars="0"/>
              <w:jc w:val="center"/>
              <w:rPr>
                <w:rFonts w:hint="default" w:asciiTheme="minorEastAsia" w:hAnsiTheme="minorEastAsia" w:eastAsiaTheme="minorEastAsia" w:cstheme="minorEastAsia"/>
                <w:szCs w:val="24"/>
                <w:lang w:val="en-US" w:eastAsia="zh-CN"/>
              </w:rPr>
            </w:pPr>
            <w:r>
              <w:rPr>
                <w:rFonts w:hint="eastAsia" w:asciiTheme="minorEastAsia" w:hAnsiTheme="minorEastAsia" w:eastAsiaTheme="minorEastAsia" w:cstheme="minorEastAsia"/>
                <w:szCs w:val="24"/>
                <w:lang w:val="en-US" w:eastAsia="zh-CN"/>
              </w:rPr>
              <w:t>技术响应</w:t>
            </w:r>
          </w:p>
        </w:tc>
        <w:tc>
          <w:tcPr>
            <w:tcW w:w="1276"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设备的功能和性能指标</w:t>
            </w:r>
          </w:p>
        </w:tc>
        <w:tc>
          <w:tcPr>
            <w:tcW w:w="850" w:type="dxa"/>
            <w:noWrap w:val="0"/>
            <w:vAlign w:val="center"/>
          </w:tcPr>
          <w:p>
            <w:pPr>
              <w:spacing w:line="320" w:lineRule="exact"/>
              <w:ind w:left="0" w:leftChars="0" w:firstLine="0" w:firstLineChars="0"/>
              <w:jc w:val="both"/>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5分</w:t>
            </w:r>
          </w:p>
        </w:tc>
        <w:tc>
          <w:tcPr>
            <w:tcW w:w="6088" w:type="dxa"/>
            <w:noWrap w:val="0"/>
            <w:vAlign w:val="center"/>
          </w:tcPr>
          <w:p>
            <w:pPr>
              <w:spacing w:line="320" w:lineRule="exact"/>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对投标人所投设备的功能、性能指标的先进性、实用性以及采用的核心技术的水平进行综合评价：</w:t>
            </w:r>
          </w:p>
          <w:p>
            <w:pPr>
              <w:spacing w:line="320" w:lineRule="exact"/>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（1）设备的品牌、功能、性能指标的先进、实用以及采用的核心技术的水平高，得5-3（含）分；</w:t>
            </w:r>
          </w:p>
          <w:p>
            <w:pPr>
              <w:spacing w:line="320" w:lineRule="exact"/>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（2）设备的品牌、功能、性能指标的较先进、实用以及采用的核心技术的水平较高，得3-2（含）分；</w:t>
            </w:r>
          </w:p>
          <w:p>
            <w:pPr>
              <w:spacing w:line="320" w:lineRule="exact"/>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（3）设备的品牌、功能、性能指标的先进性、实用性一般以及采用的核心技术的水平一般，得2-1（含）分；</w:t>
            </w:r>
          </w:p>
          <w:p>
            <w:pPr>
              <w:spacing w:line="320" w:lineRule="exac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（4）设备的品牌、功能、性能指标的先进性、实用性差以及采用的核心技术的水平低，或相关资料缺失，得0分。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68"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项目规划</w:t>
            </w:r>
          </w:p>
        </w:tc>
        <w:tc>
          <w:tcPr>
            <w:tcW w:w="1276"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场地规划布局及技术方案</w:t>
            </w:r>
          </w:p>
        </w:tc>
        <w:tc>
          <w:tcPr>
            <w:tcW w:w="850" w:type="dxa"/>
            <w:noWrap w:val="0"/>
            <w:vAlign w:val="center"/>
          </w:tcPr>
          <w:p>
            <w:pPr>
              <w:spacing w:line="320" w:lineRule="exact"/>
              <w:ind w:left="0" w:leftChars="0" w:firstLine="0" w:firstLineChars="0"/>
              <w:jc w:val="both"/>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lang w:val="en-US" w:eastAsia="zh-CN"/>
              </w:rPr>
              <w:t>15</w:t>
            </w:r>
            <w:r>
              <w:rPr>
                <w:rFonts w:hint="eastAsia" w:asciiTheme="minorEastAsia" w:hAnsiTheme="minorEastAsia" w:eastAsiaTheme="minorEastAsia" w:cstheme="minorEastAsia"/>
                <w:szCs w:val="24"/>
              </w:rPr>
              <w:t>分</w:t>
            </w:r>
          </w:p>
        </w:tc>
        <w:tc>
          <w:tcPr>
            <w:tcW w:w="6088" w:type="dxa"/>
            <w:noWrap w:val="0"/>
            <w:vAlign w:val="center"/>
          </w:tcPr>
          <w:p>
            <w:pPr>
              <w:spacing w:line="320" w:lineRule="exact"/>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整体布局合理，功能分区清晰，物流通道畅通，安全，清洁生产。评分标准：</w:t>
            </w:r>
          </w:p>
          <w:p>
            <w:pPr>
              <w:spacing w:line="320" w:lineRule="exact"/>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（1）根据本项目场地</w:t>
            </w:r>
            <w:r>
              <w:rPr>
                <w:rFonts w:hint="eastAsia" w:asciiTheme="minorEastAsia" w:hAnsiTheme="minorEastAsia" w:eastAsiaTheme="minorEastAsia" w:cstheme="minorEastAsia"/>
                <w:szCs w:val="24"/>
                <w:lang w:val="en-US" w:eastAsia="zh-CN"/>
              </w:rPr>
              <w:t>平面图</w:t>
            </w:r>
            <w:r>
              <w:rPr>
                <w:rFonts w:hint="eastAsia" w:asciiTheme="minorEastAsia" w:hAnsiTheme="minorEastAsia" w:eastAsiaTheme="minorEastAsia" w:cstheme="minorEastAsia"/>
                <w:szCs w:val="24"/>
              </w:rPr>
              <w:t>进行布局，设计方案，有正视图、侧视图、俯视图、效果图（以上效果图每份不少于1张）的得基本分</w:t>
            </w:r>
            <w:r>
              <w:rPr>
                <w:rFonts w:hint="eastAsia" w:asciiTheme="minorEastAsia" w:hAnsiTheme="minorEastAsia" w:eastAsiaTheme="minorEastAsia" w:cstheme="minorEastAsia"/>
                <w:szCs w:val="24"/>
                <w:lang w:val="en-US" w:eastAsia="zh-CN"/>
              </w:rPr>
              <w:t>10</w:t>
            </w:r>
            <w:r>
              <w:rPr>
                <w:rFonts w:hint="eastAsia" w:asciiTheme="minorEastAsia" w:hAnsiTheme="minorEastAsia" w:eastAsiaTheme="minorEastAsia" w:cstheme="minorEastAsia"/>
                <w:szCs w:val="24"/>
              </w:rPr>
              <w:t>分，图纸不齐全得酌情得</w:t>
            </w:r>
            <w:r>
              <w:rPr>
                <w:rFonts w:hint="eastAsia" w:asciiTheme="minorEastAsia" w:hAnsiTheme="minorEastAsia" w:eastAsiaTheme="minorEastAsia" w:cstheme="minorEastAsia"/>
                <w:szCs w:val="24"/>
                <w:lang w:val="en-US" w:eastAsia="zh-CN"/>
              </w:rPr>
              <w:t>1-9</w:t>
            </w:r>
            <w:r>
              <w:rPr>
                <w:rFonts w:hint="eastAsia" w:asciiTheme="minorEastAsia" w:hAnsiTheme="minorEastAsia" w:eastAsiaTheme="minorEastAsia" w:cstheme="minorEastAsia"/>
                <w:szCs w:val="24"/>
              </w:rPr>
              <w:t>分，无图纸不得分。</w:t>
            </w:r>
          </w:p>
          <w:p>
            <w:pPr>
              <w:spacing w:line="320" w:lineRule="exact"/>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（2）评标委员会根据投标人提供的图纸比较打分，评分标准：详尽明确，合理可行，完全符合或优于本项目实际需求的得</w:t>
            </w:r>
            <w:r>
              <w:rPr>
                <w:rFonts w:hint="eastAsia" w:asciiTheme="minorEastAsia" w:hAnsiTheme="minorEastAsia" w:eastAsiaTheme="minorEastAsia" w:cstheme="minorEastAsia"/>
                <w:szCs w:val="24"/>
                <w:lang w:val="en-US" w:eastAsia="zh-CN"/>
              </w:rPr>
              <w:t>5</w:t>
            </w:r>
            <w:r>
              <w:rPr>
                <w:rFonts w:hint="eastAsia" w:asciiTheme="minorEastAsia" w:hAnsiTheme="minorEastAsia" w:eastAsiaTheme="minorEastAsia" w:cstheme="minorEastAsia"/>
                <w:szCs w:val="24"/>
              </w:rPr>
              <w:t>分；较为详尽明确，合理可行，大部分符合本项目实际需求的得</w:t>
            </w:r>
            <w:r>
              <w:rPr>
                <w:rFonts w:hint="eastAsia" w:asciiTheme="minorEastAsia" w:hAnsiTheme="minorEastAsia" w:eastAsiaTheme="minorEastAsia" w:cstheme="minorEastAsia"/>
                <w:szCs w:val="24"/>
                <w:lang w:val="en-US" w:eastAsia="zh-CN"/>
              </w:rPr>
              <w:t>3</w:t>
            </w:r>
            <w:r>
              <w:rPr>
                <w:rFonts w:hint="eastAsia" w:asciiTheme="minorEastAsia" w:hAnsiTheme="minorEastAsia" w:eastAsiaTheme="minorEastAsia" w:cstheme="minorEastAsia"/>
                <w:szCs w:val="24"/>
              </w:rPr>
              <w:t>分；只有基本的相关内容，可行的得1分。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68"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项目实施方案</w:t>
            </w:r>
          </w:p>
          <w:p>
            <w:pPr>
              <w:spacing w:line="320" w:lineRule="exact"/>
              <w:jc w:val="center"/>
              <w:rPr>
                <w:rFonts w:hint="eastAsia" w:asciiTheme="minorEastAsia" w:hAnsiTheme="minorEastAsia" w:eastAsiaTheme="minorEastAsia" w:cstheme="minorEastAsia"/>
                <w:szCs w:val="24"/>
              </w:rPr>
            </w:pPr>
          </w:p>
        </w:tc>
        <w:tc>
          <w:tcPr>
            <w:tcW w:w="1276"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供货及安装方案</w:t>
            </w:r>
          </w:p>
          <w:p>
            <w:pPr>
              <w:spacing w:line="320" w:lineRule="exact"/>
              <w:jc w:val="center"/>
              <w:rPr>
                <w:rFonts w:hint="eastAsia" w:asciiTheme="minorEastAsia" w:hAnsiTheme="minorEastAsia" w:eastAsiaTheme="minorEastAsia" w:cstheme="minorEastAsia"/>
                <w:szCs w:val="24"/>
              </w:rPr>
            </w:pPr>
          </w:p>
        </w:tc>
        <w:tc>
          <w:tcPr>
            <w:tcW w:w="850" w:type="dxa"/>
            <w:noWrap w:val="0"/>
            <w:vAlign w:val="center"/>
          </w:tcPr>
          <w:p>
            <w:pPr>
              <w:spacing w:line="320" w:lineRule="exact"/>
              <w:ind w:left="0" w:leftChars="0" w:firstLine="0" w:firstLineChars="0"/>
              <w:jc w:val="both"/>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lang w:val="en-US" w:eastAsia="zh-CN"/>
              </w:rPr>
              <w:t>7</w:t>
            </w:r>
            <w:r>
              <w:rPr>
                <w:rFonts w:hint="eastAsia" w:asciiTheme="minorEastAsia" w:hAnsiTheme="minorEastAsia" w:eastAsiaTheme="minorEastAsia" w:cstheme="minorEastAsia"/>
                <w:szCs w:val="24"/>
              </w:rPr>
              <w:t>分</w:t>
            </w:r>
          </w:p>
        </w:tc>
        <w:tc>
          <w:tcPr>
            <w:tcW w:w="6088" w:type="dxa"/>
            <w:noWrap w:val="0"/>
            <w:vAlign w:val="center"/>
          </w:tcPr>
          <w:p>
            <w:pPr>
              <w:autoSpaceDE/>
              <w:autoSpaceDN/>
              <w:adjustRightInd w:val="0"/>
              <w:spacing w:line="320" w:lineRule="exact"/>
              <w:ind w:firstLine="480" w:firstLineChars="200"/>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w:t>
            </w:r>
            <w:r>
              <w:rPr>
                <w:rFonts w:hint="eastAsia" w:asciiTheme="minorEastAsia" w:hAnsiTheme="minorEastAsia" w:eastAsiaTheme="minorEastAsia" w:cstheme="minorEastAsia"/>
                <w:szCs w:val="24"/>
                <w:lang w:val="en-US" w:eastAsia="zh-CN"/>
              </w:rPr>
              <w:t>1</w:t>
            </w:r>
            <w:r>
              <w:rPr>
                <w:rFonts w:hint="eastAsia" w:asciiTheme="minorEastAsia" w:hAnsiTheme="minorEastAsia" w:eastAsiaTheme="minorEastAsia" w:cstheme="minorEastAsia"/>
                <w:szCs w:val="24"/>
              </w:rPr>
              <w:t>）提供详细的安装方案：</w:t>
            </w:r>
          </w:p>
          <w:p>
            <w:pPr>
              <w:autoSpaceDE/>
              <w:autoSpaceDN/>
              <w:adjustRightInd w:val="0"/>
              <w:spacing w:line="320" w:lineRule="exact"/>
              <w:ind w:firstLine="480" w:firstLineChars="200"/>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评委根据项目实施方案中供货、安装内容的详细性、方案的合理性打分。方案内容详细、合理的得</w:t>
            </w:r>
            <w:r>
              <w:rPr>
                <w:rFonts w:hint="eastAsia" w:asciiTheme="minorEastAsia" w:hAnsiTheme="minorEastAsia" w:eastAsiaTheme="minorEastAsia" w:cstheme="minorEastAsia"/>
                <w:szCs w:val="24"/>
                <w:lang w:val="en-US" w:eastAsia="zh-CN"/>
              </w:rPr>
              <w:t>4</w:t>
            </w:r>
            <w:r>
              <w:rPr>
                <w:rFonts w:hint="eastAsia" w:asciiTheme="minorEastAsia" w:hAnsiTheme="minorEastAsia" w:eastAsiaTheme="minorEastAsia" w:cstheme="minorEastAsia"/>
                <w:szCs w:val="24"/>
              </w:rPr>
              <w:t>分；方案内容基本合理的得</w:t>
            </w:r>
            <w:r>
              <w:rPr>
                <w:rFonts w:hint="eastAsia" w:asciiTheme="minorEastAsia" w:hAnsiTheme="minorEastAsia" w:eastAsiaTheme="minorEastAsia" w:cstheme="minorEastAsia"/>
                <w:szCs w:val="24"/>
                <w:lang w:val="en-US" w:eastAsia="zh-CN"/>
              </w:rPr>
              <w:t>2</w:t>
            </w:r>
            <w:r>
              <w:rPr>
                <w:rFonts w:hint="eastAsia" w:asciiTheme="minorEastAsia" w:hAnsiTheme="minorEastAsia" w:eastAsiaTheme="minorEastAsia" w:cstheme="minorEastAsia"/>
                <w:szCs w:val="24"/>
              </w:rPr>
              <w:t>分；没内容的不得分。</w:t>
            </w:r>
          </w:p>
          <w:p>
            <w:pPr>
              <w:autoSpaceDE/>
              <w:autoSpaceDN/>
              <w:adjustRightInd w:val="0"/>
              <w:spacing w:line="320" w:lineRule="exact"/>
              <w:ind w:firstLine="480" w:firstLineChars="200"/>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（5）设备使用和维护培训方案：</w:t>
            </w:r>
          </w:p>
          <w:p>
            <w:pPr>
              <w:autoSpaceDE/>
              <w:autoSpaceDN/>
              <w:adjustRightInd w:val="0"/>
              <w:spacing w:line="320" w:lineRule="exact"/>
              <w:ind w:firstLine="480" w:firstLineChars="200"/>
              <w:jc w:val="left"/>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评委根据供应商使用和维护培训拟选派的人员实力（依据证书、从业经验进行评审），培训方案的完整性、合理性打分，选派的人员实力较强，培训方案详细合理的得</w:t>
            </w:r>
            <w:r>
              <w:rPr>
                <w:rFonts w:hint="eastAsia" w:asciiTheme="minorEastAsia" w:hAnsiTheme="minorEastAsia" w:eastAsiaTheme="minorEastAsia" w:cstheme="minorEastAsia"/>
                <w:szCs w:val="24"/>
                <w:lang w:val="en-US" w:eastAsia="zh-CN"/>
              </w:rPr>
              <w:t>3</w:t>
            </w:r>
            <w:r>
              <w:rPr>
                <w:rFonts w:hint="eastAsia" w:asciiTheme="minorEastAsia" w:hAnsiTheme="minorEastAsia" w:eastAsiaTheme="minorEastAsia" w:cstheme="minorEastAsia"/>
                <w:szCs w:val="24"/>
              </w:rPr>
              <w:t>分；选派的人员实力一般的得</w:t>
            </w:r>
            <w:r>
              <w:rPr>
                <w:rFonts w:hint="eastAsia" w:asciiTheme="minorEastAsia" w:hAnsiTheme="minorEastAsia" w:eastAsiaTheme="minorEastAsia" w:cstheme="minorEastAsia"/>
                <w:szCs w:val="24"/>
                <w:lang w:val="en-US" w:eastAsia="zh-CN"/>
              </w:rPr>
              <w:t>1</w:t>
            </w:r>
            <w:r>
              <w:rPr>
                <w:rFonts w:hint="eastAsia" w:asciiTheme="minorEastAsia" w:hAnsiTheme="minorEastAsia" w:eastAsiaTheme="minorEastAsia" w:cstheme="minorEastAsia"/>
                <w:szCs w:val="24"/>
              </w:rPr>
              <w:t>分；没有内容不得分。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68"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售后服务</w:t>
            </w:r>
          </w:p>
        </w:tc>
        <w:tc>
          <w:tcPr>
            <w:tcW w:w="1276" w:type="dxa"/>
            <w:noWrap w:val="0"/>
            <w:vAlign w:val="center"/>
          </w:tcPr>
          <w:p>
            <w:pPr>
              <w:spacing w:line="320" w:lineRule="exact"/>
              <w:ind w:left="0" w:leftChars="0" w:firstLine="0" w:firstLineChars="0"/>
              <w:jc w:val="center"/>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rPr>
              <w:t>售后服务</w:t>
            </w:r>
          </w:p>
        </w:tc>
        <w:tc>
          <w:tcPr>
            <w:tcW w:w="850" w:type="dxa"/>
            <w:noWrap w:val="0"/>
            <w:vAlign w:val="center"/>
          </w:tcPr>
          <w:p>
            <w:pPr>
              <w:spacing w:line="320" w:lineRule="exact"/>
              <w:ind w:left="0" w:leftChars="0" w:firstLine="0" w:firstLineChars="0"/>
              <w:jc w:val="both"/>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szCs w:val="24"/>
                <w:lang w:val="en-US" w:eastAsia="zh-CN"/>
              </w:rPr>
              <w:t>3</w:t>
            </w:r>
            <w:r>
              <w:rPr>
                <w:rFonts w:hint="eastAsia" w:asciiTheme="minorEastAsia" w:hAnsiTheme="minorEastAsia" w:eastAsiaTheme="minorEastAsia" w:cstheme="minorEastAsia"/>
                <w:szCs w:val="24"/>
              </w:rPr>
              <w:t>分</w:t>
            </w:r>
          </w:p>
        </w:tc>
        <w:tc>
          <w:tcPr>
            <w:tcW w:w="6088" w:type="dxa"/>
            <w:noWrap w:val="0"/>
            <w:vAlign w:val="center"/>
          </w:tcPr>
          <w:p>
            <w:pPr>
              <w:pStyle w:val="36"/>
              <w:spacing w:line="32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kern w:val="2"/>
                <w:sz w:val="24"/>
                <w:szCs w:val="24"/>
              </w:rPr>
              <w:t>投标人提供的售后服务及售后服务方案的可行性、完整性、合理性（包括服务人员的配备、响应时间、响应程度、解决问题的能力、紧急故障处理预案等）以及服务承诺落实的保障措施，维护期内外的后继技术支持和维护能力等进行综合评价得</w:t>
            </w:r>
            <w:r>
              <w:rPr>
                <w:rFonts w:hint="eastAsia" w:asciiTheme="minorEastAsia" w:hAnsiTheme="minorEastAsia" w:eastAsiaTheme="minorEastAsia" w:cstheme="minorEastAsia"/>
                <w:kern w:val="2"/>
                <w:sz w:val="24"/>
                <w:szCs w:val="24"/>
                <w:lang w:val="en-US" w:eastAsia="zh-CN"/>
              </w:rPr>
              <w:t>1-2</w:t>
            </w:r>
            <w:r>
              <w:rPr>
                <w:rFonts w:hint="eastAsia" w:asciiTheme="minorEastAsia" w:hAnsiTheme="minorEastAsia" w:eastAsiaTheme="minorEastAsia" w:cstheme="minorEastAsia"/>
                <w:kern w:val="2"/>
                <w:sz w:val="24"/>
                <w:szCs w:val="24"/>
              </w:rPr>
              <w:t>分。</w:t>
            </w:r>
          </w:p>
          <w:p>
            <w:pPr>
              <w:pStyle w:val="36"/>
              <w:spacing w:line="32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（2）生产厂家</w:t>
            </w:r>
            <w:r>
              <w:rPr>
                <w:rFonts w:hint="eastAsia" w:asciiTheme="minorEastAsia" w:hAnsiTheme="minorEastAsia" w:eastAsiaTheme="minorEastAsia" w:cstheme="minorEastAsia"/>
                <w:kern w:val="2"/>
                <w:sz w:val="24"/>
                <w:szCs w:val="24"/>
              </w:rPr>
              <w:t>在</w:t>
            </w:r>
            <w:r>
              <w:rPr>
                <w:rFonts w:hint="eastAsia" w:asciiTheme="minorEastAsia" w:hAnsiTheme="minorEastAsia" w:eastAsiaTheme="minorEastAsia" w:cstheme="minorEastAsia"/>
                <w:kern w:val="2"/>
                <w:sz w:val="24"/>
                <w:szCs w:val="24"/>
                <w:lang w:val="en-US" w:eastAsia="zh-CN"/>
              </w:rPr>
              <w:t>盐城、扬州、淮安等地</w:t>
            </w:r>
            <w:r>
              <w:rPr>
                <w:rFonts w:hint="eastAsia" w:asciiTheme="minorEastAsia" w:hAnsiTheme="minorEastAsia" w:eastAsiaTheme="minorEastAsia" w:cstheme="minorEastAsia"/>
                <w:kern w:val="2"/>
                <w:sz w:val="24"/>
                <w:szCs w:val="24"/>
              </w:rPr>
              <w:t>有配件仓库及维修厂的，得</w:t>
            </w:r>
            <w:r>
              <w:rPr>
                <w:rFonts w:hint="eastAsia" w:asciiTheme="minorEastAsia" w:hAnsiTheme="minorEastAsia" w:eastAsiaTheme="minorEastAsia" w:cstheme="minorEastAsia"/>
                <w:kern w:val="2"/>
                <w:sz w:val="24"/>
                <w:szCs w:val="24"/>
                <w:lang w:val="en-US" w:eastAsia="zh-CN"/>
              </w:rPr>
              <w:t>1</w:t>
            </w:r>
            <w:r>
              <w:rPr>
                <w:rFonts w:hint="eastAsia" w:asciiTheme="minorEastAsia" w:hAnsiTheme="minorEastAsia" w:eastAsiaTheme="minorEastAsia" w:cstheme="minorEastAsia"/>
                <w:kern w:val="2"/>
                <w:sz w:val="24"/>
                <w:szCs w:val="24"/>
              </w:rPr>
              <w:t>分，提供相关证明材料，否则不得分。</w:t>
            </w:r>
          </w:p>
        </w:tc>
      </w:tr>
      <w:bookmarkEnd w:id="57"/>
    </w:tbl>
    <w:p>
      <w:pPr>
        <w:keepNext w:val="0"/>
        <w:keepLines w:val="0"/>
        <w:pageBreakBefore w:val="0"/>
        <w:widowControl/>
        <w:adjustRightInd/>
        <w:snapToGrid/>
        <w:spacing w:before="0" w:beforeLines="-2147483648" w:line="240" w:lineRule="auto"/>
        <w:ind w:right="0" w:firstLine="0" w:firstLineChars="0"/>
        <w:jc w:val="left"/>
        <w:outlineLvl w:val="9"/>
        <w:rPr>
          <w:rFonts w:hint="eastAsia" w:asciiTheme="minorEastAsia" w:hAnsiTheme="minorEastAsia" w:eastAsiaTheme="minorEastAsia" w:cstheme="minorEastAsia"/>
          <w:b/>
          <w:color w:val="000000" w:themeColor="text1"/>
          <w:sz w:val="44"/>
          <w:szCs w:val="44"/>
          <w14:textFill>
            <w14:solidFill>
              <w14:schemeClr w14:val="tx1"/>
            </w14:solidFill>
          </w14:textFill>
        </w:rPr>
      </w:pPr>
      <w:bookmarkStart w:id="58" w:name="EB2cffe4c08af84c94ae70d8c44e1d2ecc"/>
      <w:bookmarkEnd w:id="58"/>
      <w:bookmarkStart w:id="59" w:name="EBd5bea3a3c3254523b93c8abaa514fb10"/>
      <w:bookmarkEnd w:id="59"/>
      <w:bookmarkStart w:id="60" w:name="_Toc256000014"/>
      <w:bookmarkStart w:id="61" w:name="_Toc63151905"/>
      <w:r>
        <w:rPr>
          <w:rFonts w:hint="eastAsia" w:asciiTheme="minorEastAsia" w:hAnsiTheme="minorEastAsia" w:eastAsiaTheme="minorEastAsia" w:cstheme="minorEastAsia"/>
          <w:b/>
          <w:color w:val="000000" w:themeColor="text1"/>
          <w:sz w:val="44"/>
          <w:szCs w:val="44"/>
          <w14:textFill>
            <w14:solidFill>
              <w14:schemeClr w14:val="tx1"/>
            </w14:solidFill>
          </w14:textFill>
        </w:rPr>
        <w:br w:type="page"/>
      </w:r>
    </w:p>
    <w:p>
      <w:pPr>
        <w:keepNext w:val="0"/>
        <w:keepLines w:val="0"/>
        <w:pageBreakBefore w:val="0"/>
        <w:widowControl w:val="0"/>
        <w:adjustRightInd w:val="0"/>
        <w:snapToGrid w:val="0"/>
        <w:spacing w:before="157" w:beforeLines="50" w:line="360" w:lineRule="auto"/>
        <w:ind w:right="-11" w:firstLine="0" w:firstLineChars="0"/>
        <w:jc w:val="center"/>
        <w:outlineLvl w:val="9"/>
        <w:rPr>
          <w:rFonts w:hint="eastAsia" w:asciiTheme="minorEastAsia" w:hAnsiTheme="minorEastAsia" w:eastAsiaTheme="minorEastAsia" w:cstheme="minorEastAsia"/>
          <w:b/>
          <w:color w:val="000000" w:themeColor="text1"/>
          <w:sz w:val="36"/>
          <w:szCs w:val="36"/>
          <w14:textFill>
            <w14:solidFill>
              <w14:schemeClr w14:val="tx1"/>
            </w14:solidFill>
          </w14:textFill>
        </w:rPr>
      </w:pPr>
      <w:r>
        <w:rPr>
          <w:rFonts w:hint="eastAsia" w:asciiTheme="minorEastAsia" w:hAnsiTheme="minorEastAsia" w:eastAsiaTheme="minorEastAsia" w:cstheme="minorEastAsia"/>
          <w:b/>
          <w:color w:val="000000" w:themeColor="text1"/>
          <w:sz w:val="36"/>
          <w:szCs w:val="36"/>
          <w14:textFill>
            <w14:solidFill>
              <w14:schemeClr w14:val="tx1"/>
            </w14:solidFill>
          </w14:textFill>
        </w:rPr>
        <w:t>第四部分  采购需求</w:t>
      </w:r>
      <w:bookmarkEnd w:id="60"/>
      <w:bookmarkEnd w:id="61"/>
    </w:p>
    <w:p>
      <w:pPr>
        <w:pStyle w:val="37"/>
        <w:spacing w:line="360" w:lineRule="auto"/>
        <w:ind w:firstLine="480" w:firstLineChars="200"/>
        <w:outlineLvl w:val="1"/>
        <w:rPr>
          <w:rFonts w:hint="eastAsia" w:asciiTheme="minorEastAsia" w:hAnsiTheme="minorEastAsia" w:eastAsiaTheme="minorEastAsia" w:cstheme="minorEastAsia"/>
          <w:b/>
          <w:color w:val="000000" w:themeColor="text1"/>
          <w:kern w:val="2"/>
          <w:sz w:val="24"/>
          <w:szCs w:val="24"/>
          <w14:textFill>
            <w14:solidFill>
              <w14:schemeClr w14:val="tx1"/>
            </w14:solidFill>
          </w14:textFill>
        </w:rPr>
      </w:pPr>
      <w:r>
        <w:rPr>
          <w:rFonts w:hint="eastAsia" w:asciiTheme="minorEastAsia" w:hAnsiTheme="minorEastAsia" w:eastAsiaTheme="minorEastAsia" w:cstheme="minorEastAsia"/>
          <w:b/>
          <w:color w:val="000000" w:themeColor="text1"/>
          <w:kern w:val="2"/>
          <w:sz w:val="24"/>
          <w:szCs w:val="24"/>
          <w14:textFill>
            <w14:solidFill>
              <w14:schemeClr w14:val="tx1"/>
            </w14:solidFill>
          </w14:textFill>
        </w:rPr>
        <w:t>一、项目概况</w:t>
      </w:r>
    </w:p>
    <w:p>
      <w:pPr>
        <w:pStyle w:val="37"/>
        <w:spacing w:line="360" w:lineRule="auto"/>
        <w:ind w:firstLine="480" w:firstLineChars="200"/>
        <w:rPr>
          <w:rFonts w:hint="eastAsia" w:asciiTheme="minorEastAsia" w:hAnsiTheme="minorEastAsia" w:eastAsiaTheme="minorEastAsia" w:cstheme="minorEastAsia"/>
          <w:color w:val="000000" w:themeColor="text1"/>
          <w:kern w:val="2"/>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14:textFill>
            <w14:solidFill>
              <w14:schemeClr w14:val="tx1"/>
            </w14:solidFill>
          </w14:textFill>
        </w:rPr>
        <w:t>（一）项目简介</w:t>
      </w:r>
    </w:p>
    <w:p>
      <w:pPr>
        <w:widowControl w:val="0"/>
        <w:adjustRightInd w:val="0"/>
        <w:snapToGrid w:val="0"/>
        <w:spacing w:line="360" w:lineRule="auto"/>
        <w:ind w:right="-10" w:firstLine="480" w:firstLineChars="200"/>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江苏省水利建设工程有限公司计划采购</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180</w:t>
      </w:r>
      <w:r>
        <w:rPr>
          <w:rFonts w:hint="eastAsia" w:asciiTheme="minorEastAsia" w:hAnsiTheme="minorEastAsia" w:eastAsiaTheme="minorEastAsia" w:cstheme="minorEastAsia"/>
          <w:color w:val="000000" w:themeColor="text1"/>
          <w:sz w:val="24"/>
          <w:u w:val="single"/>
          <w14:textFill>
            <w14:solidFill>
              <w14:schemeClr w14:val="tx1"/>
            </w14:solidFill>
          </w14:textFill>
        </w:rPr>
        <w:t>混凝土搅拌站</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2台套、</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1辆≥</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56</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米四桥混凝土泵车，1辆≥49米三桥混凝土泵车</w:t>
      </w:r>
      <w:r>
        <w:rPr>
          <w:rFonts w:hint="eastAsia" w:asciiTheme="minorEastAsia" w:hAnsiTheme="minorEastAsia" w:eastAsiaTheme="minorEastAsia" w:cstheme="minorEastAsia"/>
          <w:color w:val="000000" w:themeColor="text1"/>
          <w:kern w:val="0"/>
          <w:sz w:val="24"/>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10辆四桥10方混凝土法规搅拌车</w:t>
      </w:r>
      <w:r>
        <w:rPr>
          <w:rFonts w:hint="eastAsia" w:asciiTheme="minorEastAsia" w:hAnsiTheme="minorEastAsia" w:eastAsiaTheme="minorEastAsia" w:cstheme="minorEastAsia"/>
          <w:color w:val="000000" w:themeColor="text1"/>
          <w:kern w:val="0"/>
          <w:sz w:val="24"/>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2台5T装载机等设备</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pStyle w:val="37"/>
        <w:spacing w:line="360" w:lineRule="auto"/>
        <w:ind w:firstLine="480" w:firstLineChars="200"/>
        <w:rPr>
          <w:rFonts w:hint="eastAsia" w:asciiTheme="minorEastAsia" w:hAnsiTheme="minorEastAsia" w:eastAsiaTheme="minorEastAsia" w:cstheme="minorEastAsia"/>
          <w:color w:val="000000" w:themeColor="text1"/>
          <w:kern w:val="2"/>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14:textFill>
            <w14:solidFill>
              <w14:schemeClr w14:val="tx1"/>
            </w14:solidFill>
          </w14:textFill>
        </w:rPr>
        <w:t>（二）付款方式</w:t>
      </w:r>
    </w:p>
    <w:p>
      <w:pPr>
        <w:pStyle w:val="39"/>
        <w:widowControl w:val="0"/>
        <w:spacing w:after="0" w:line="360" w:lineRule="auto"/>
        <w:ind w:firstLine="480" w:firstLineChars="200"/>
        <w:rPr>
          <w:rFonts w:hint="eastAsia" w:ascii="宋体" w:hAnsi="宋体"/>
          <w:color w:val="000000" w:themeColor="text1"/>
          <w:szCs w:val="21"/>
          <w:u w:val="single"/>
          <w14:textFill>
            <w14:solidFill>
              <w14:schemeClr w14:val="tx1"/>
            </w14:solidFill>
          </w14:textFill>
        </w:rPr>
      </w:pP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lang w:val="en-US" w:eastAsia="zh-CN"/>
          <w14:textFill>
            <w14:solidFill>
              <w14:schemeClr w14:val="tx1"/>
            </w14:solidFill>
          </w14:textFill>
        </w:rPr>
        <w:t>本合同无预付款，供货结束安装调试成功且正常生产运行后一个月内，采购方收到中标方提供税率为13%的增值税专用发票、</w:t>
      </w:r>
      <w:r>
        <w:rPr>
          <w:rFonts w:hint="eastAsia" w:asciiTheme="minorEastAsia" w:hAnsiTheme="minorEastAsia" w:eastAsiaTheme="minorEastAsia" w:cstheme="minorEastAsia"/>
          <w:color w:val="000000" w:themeColor="text1"/>
          <w:sz w:val="24"/>
          <w:szCs w:val="24"/>
          <w14:textFill>
            <w14:solidFill>
              <w14:schemeClr w14:val="tx1"/>
            </w14:solidFill>
          </w14:textFill>
        </w:rPr>
        <w:t>制造厂家出具的质量检验证书等、装箱单、验收合格证书、买方加盖公章证明货物交付使用合格的验收合格报告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等资料后</w:t>
      </w:r>
      <w:r>
        <w:rPr>
          <w:rFonts w:hint="eastAsia" w:asciiTheme="minorEastAsia" w:hAnsiTheme="minorEastAsia" w:eastAsiaTheme="minorEastAsia" w:cstheme="minorEastAsia"/>
          <w:color w:val="000000" w:themeColor="text1"/>
          <w:kern w:val="0"/>
          <w:sz w:val="24"/>
          <w:lang w:val="en-US" w:eastAsia="zh-CN"/>
          <w14:textFill>
            <w14:solidFill>
              <w14:schemeClr w14:val="tx1"/>
            </w14:solidFill>
          </w14:textFill>
        </w:rPr>
        <w:t>，</w:t>
      </w:r>
      <w:r>
        <w:rPr>
          <w:rFonts w:ascii="宋体" w:hAnsi="宋体"/>
          <w:color w:val="000000" w:themeColor="text1"/>
          <w:szCs w:val="21"/>
          <w14:textFill>
            <w14:solidFill>
              <w14:schemeClr w14:val="tx1"/>
            </w14:solidFill>
          </w14:textFill>
        </w:rPr>
        <w:t>付</w:t>
      </w:r>
      <w:r>
        <w:rPr>
          <w:rFonts w:hint="eastAsia" w:ascii="宋体" w:hAnsi="宋体"/>
          <w:color w:val="000000" w:themeColor="text1"/>
          <w:szCs w:val="21"/>
          <w:lang w:val="en-US" w:eastAsia="zh-CN"/>
          <w14:textFill>
            <w14:solidFill>
              <w14:schemeClr w14:val="tx1"/>
            </w14:solidFill>
          </w14:textFill>
        </w:rPr>
        <w:t>至</w:t>
      </w:r>
      <w:r>
        <w:rPr>
          <w:rFonts w:ascii="宋体" w:hAnsi="宋体"/>
          <w:color w:val="000000" w:themeColor="text1"/>
          <w:szCs w:val="21"/>
          <w14:textFill>
            <w14:solidFill>
              <w14:schemeClr w14:val="tx1"/>
            </w14:solidFill>
          </w14:textFill>
        </w:rPr>
        <w:t>合同总价的</w:t>
      </w:r>
      <w:r>
        <w:rPr>
          <w:rFonts w:hint="eastAsia" w:ascii="宋体" w:hAnsi="宋体"/>
          <w:color w:val="000000" w:themeColor="text1"/>
          <w:szCs w:val="21"/>
          <w:lang w:val="en-US" w:eastAsia="zh-CN"/>
          <w14:textFill>
            <w14:solidFill>
              <w14:schemeClr w14:val="tx1"/>
            </w14:solidFill>
          </w14:textFill>
        </w:rPr>
        <w:t>9</w:t>
      </w:r>
      <w:r>
        <w:rPr>
          <w:rFonts w:hint="eastAsia" w:ascii="宋体" w:hAnsi="宋体"/>
          <w:color w:val="000000" w:themeColor="text1"/>
          <w:szCs w:val="21"/>
          <w14:textFill>
            <w14:solidFill>
              <w14:schemeClr w14:val="tx1"/>
            </w14:solidFill>
          </w14:textFill>
        </w:rPr>
        <w:t>0</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w:t>
      </w:r>
    </w:p>
    <w:p>
      <w:pPr>
        <w:pStyle w:val="39"/>
        <w:widowControl w:val="0"/>
        <w:spacing w:after="0" w:line="360" w:lineRule="auto"/>
        <w:ind w:left="0" w:leftChars="0" w:firstLine="480"/>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w:t>
      </w:r>
      <w:r>
        <w:rPr>
          <w:rFonts w:ascii="宋体" w:hAnsi="宋体"/>
          <w:color w:val="000000" w:themeColor="text1"/>
          <w:szCs w:val="21"/>
          <w14:textFill>
            <w14:solidFill>
              <w14:schemeClr w14:val="tx1"/>
            </w14:solidFill>
          </w14:textFill>
        </w:rPr>
        <w:t>、余款自</w:t>
      </w:r>
      <w:r>
        <w:rPr>
          <w:rFonts w:hint="eastAsia" w:ascii="宋体" w:hAnsi="宋体"/>
          <w:color w:val="000000" w:themeColor="text1"/>
          <w:szCs w:val="21"/>
          <w:lang w:val="en-US" w:eastAsia="zh-CN"/>
          <w14:textFill>
            <w14:solidFill>
              <w14:schemeClr w14:val="tx1"/>
            </w14:solidFill>
          </w14:textFill>
        </w:rPr>
        <w:t>物品</w:t>
      </w:r>
      <w:r>
        <w:rPr>
          <w:rFonts w:hint="eastAsia" w:ascii="宋体" w:hAnsi="宋体"/>
          <w:color w:val="000000" w:themeColor="text1"/>
          <w:szCs w:val="21"/>
          <w14:textFill>
            <w14:solidFill>
              <w14:schemeClr w14:val="tx1"/>
            </w14:solidFill>
          </w14:textFill>
        </w:rPr>
        <w:t>交</w:t>
      </w:r>
      <w:r>
        <w:rPr>
          <w:rFonts w:hint="eastAsia" w:ascii="宋体" w:hAnsi="宋体"/>
          <w:color w:val="000000" w:themeColor="text1"/>
          <w:szCs w:val="21"/>
          <w:lang w:val="en-US" w:eastAsia="zh-CN"/>
          <w14:textFill>
            <w14:solidFill>
              <w14:schemeClr w14:val="tx1"/>
            </w14:solidFill>
          </w14:textFill>
        </w:rPr>
        <w:t>付安装调试成功且正常生产运行后一个月</w:t>
      </w:r>
      <w:r>
        <w:rPr>
          <w:rFonts w:ascii="宋体" w:hAnsi="宋体"/>
          <w:color w:val="000000" w:themeColor="text1"/>
          <w:szCs w:val="21"/>
          <w14:textFill>
            <w14:solidFill>
              <w14:schemeClr w14:val="tx1"/>
            </w14:solidFill>
          </w14:textFill>
        </w:rPr>
        <w:t>起满</w:t>
      </w:r>
      <w:r>
        <w:rPr>
          <w:rFonts w:hint="eastAsia" w:ascii="宋体" w:hAnsi="宋体"/>
          <w:color w:val="000000" w:themeColor="text1"/>
          <w:szCs w:val="21"/>
          <w:lang w:val="en-US" w:eastAsia="zh-CN"/>
          <w14:textFill>
            <w14:solidFill>
              <w14:schemeClr w14:val="tx1"/>
            </w14:solidFill>
          </w14:textFill>
        </w:rPr>
        <w:t>壹</w:t>
      </w:r>
      <w:r>
        <w:rPr>
          <w:rFonts w:ascii="宋体" w:hAnsi="宋体"/>
          <w:color w:val="000000" w:themeColor="text1"/>
          <w:szCs w:val="21"/>
          <w14:textFill>
            <w14:solidFill>
              <w14:schemeClr w14:val="tx1"/>
            </w14:solidFill>
          </w14:textFill>
        </w:rPr>
        <w:t>年</w:t>
      </w:r>
      <w:r>
        <w:rPr>
          <w:rFonts w:hint="eastAsia" w:ascii="宋体" w:hAnsi="宋体"/>
          <w:color w:val="000000" w:themeColor="text1"/>
          <w:szCs w:val="21"/>
          <w:lang w:val="en-US" w:eastAsia="zh-CN"/>
          <w14:textFill>
            <w14:solidFill>
              <w14:schemeClr w14:val="tx1"/>
            </w14:solidFill>
          </w14:textFill>
        </w:rPr>
        <w:t>后，采购方收到税率为13%增值税专用发票和最终结算单等资料后无息付清。</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（三）供货期：</w:t>
      </w:r>
      <w:r>
        <w:rPr>
          <w:rFonts w:hint="eastAsia" w:asciiTheme="minorEastAsia" w:hAnsiTheme="minorEastAsia" w:eastAsiaTheme="minorEastAsia" w:cstheme="minorEastAsia"/>
          <w:color w:val="000000" w:themeColor="text1"/>
          <w:kern w:val="0"/>
          <w:sz w:val="24"/>
          <w14:textFill>
            <w14:solidFill>
              <w14:schemeClr w14:val="tx1"/>
            </w14:solidFill>
          </w14:textFill>
        </w:rPr>
        <w:t>合同签订生效后30个日历天内完成供货，供货完成在招标人发出安装通知指令后</w:t>
      </w:r>
      <w:r>
        <w:rPr>
          <w:rFonts w:hint="eastAsia" w:asciiTheme="minorEastAsia" w:hAnsiTheme="minorEastAsia" w:eastAsiaTheme="minorEastAsia" w:cstheme="minorEastAsia"/>
          <w:color w:val="000000" w:themeColor="text1"/>
          <w:kern w:val="0"/>
          <w:sz w:val="24"/>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kern w:val="0"/>
          <w:sz w:val="24"/>
          <w14:textFill>
            <w14:solidFill>
              <w14:schemeClr w14:val="tx1"/>
            </w14:solidFill>
          </w14:textFill>
        </w:rPr>
        <w:t>个日历天内完成安装调试达到生产条件</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pStyle w:val="38"/>
        <w:spacing w:line="360" w:lineRule="auto"/>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（四）交货地点：</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滨海枢纽项目现场（江苏滨海县通榆镇境内）</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pStyle w:val="38"/>
        <w:spacing w:line="360" w:lineRule="auto"/>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（五）质量要求：合格。</w:t>
      </w:r>
    </w:p>
    <w:p>
      <w:pPr>
        <w:pStyle w:val="38"/>
        <w:spacing w:line="360" w:lineRule="auto"/>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（六）质保期：</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14:textFill>
            <w14:solidFill>
              <w14:schemeClr w14:val="tx1"/>
            </w14:solidFill>
          </w14:textFill>
        </w:rPr>
        <w:t>年（从本项目验收合格之日起计算，费用包含在投标报价中）。</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七</w:t>
      </w:r>
      <w:r>
        <w:rPr>
          <w:rFonts w:hint="eastAsia" w:asciiTheme="minorEastAsia" w:hAnsiTheme="minorEastAsia" w:eastAsiaTheme="minorEastAsia" w:cstheme="minorEastAsia"/>
          <w:color w:val="000000" w:themeColor="text1"/>
          <w:sz w:val="24"/>
          <w14:textFill>
            <w14:solidFill>
              <w14:schemeClr w14:val="tx1"/>
            </w14:solidFill>
          </w14:textFill>
        </w:rPr>
        <w:t>）投标人报价时应充分考虑所有可能影响到报价的因素，一旦评标结束最终中标，总价将包定，不予调整。如发生漏、缺、少项，都将被认为是中标人的报价让利行为，损失自负。</w:t>
      </w:r>
    </w:p>
    <w:p>
      <w:pPr>
        <w:pStyle w:val="37"/>
        <w:spacing w:line="360" w:lineRule="auto"/>
        <w:ind w:firstLine="480" w:firstLineChars="200"/>
        <w:outlineLvl w:val="1"/>
        <w:rPr>
          <w:rFonts w:hint="eastAsia" w:asciiTheme="minorEastAsia" w:hAnsiTheme="minorEastAsia" w:eastAsiaTheme="minorEastAsia" w:cstheme="minorEastAsia"/>
          <w:b/>
          <w:color w:val="000000" w:themeColor="text1"/>
          <w:kern w:val="2"/>
          <w:sz w:val="24"/>
          <w:szCs w:val="24"/>
          <w14:textFill>
            <w14:solidFill>
              <w14:schemeClr w14:val="tx1"/>
            </w14:solidFill>
          </w14:textFill>
        </w:rPr>
      </w:pPr>
      <w:r>
        <w:rPr>
          <w:rFonts w:hint="eastAsia" w:asciiTheme="minorEastAsia" w:hAnsiTheme="minorEastAsia" w:eastAsiaTheme="minorEastAsia" w:cstheme="minorEastAsia"/>
          <w:b/>
          <w:color w:val="000000" w:themeColor="text1"/>
          <w:kern w:val="2"/>
          <w:sz w:val="24"/>
          <w:szCs w:val="24"/>
          <w14:textFill>
            <w14:solidFill>
              <w14:schemeClr w14:val="tx1"/>
            </w14:solidFill>
          </w14:textFill>
        </w:rPr>
        <w:t>二、采购清单及参数要求</w:t>
      </w:r>
    </w:p>
    <w:p>
      <w:pPr>
        <w:widowControl w:val="0"/>
        <w:ind w:firstLine="480" w:firstLineChars="200"/>
        <w:rPr>
          <w:rFonts w:hint="eastAsia" w:asciiTheme="minorEastAsia" w:hAnsiTheme="minorEastAsia" w:eastAsiaTheme="minorEastAsia" w:cstheme="minorEastAsia"/>
          <w:color w:val="000000" w:themeColor="text1"/>
          <w:kern w:val="0"/>
          <w:sz w:val="24"/>
          <w:szCs w:val="20"/>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0"/>
          <w14:textFill>
            <w14:solidFill>
              <w14:schemeClr w14:val="tx1"/>
            </w14:solidFill>
          </w14:textFill>
        </w:rPr>
        <w:t>项目整体采购清单</w:t>
      </w:r>
    </w:p>
    <w:tbl>
      <w:tblPr>
        <w:tblStyle w:val="14"/>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1417"/>
        <w:gridCol w:w="1134"/>
        <w:gridCol w:w="800"/>
        <w:gridCol w:w="901"/>
        <w:gridCol w:w="4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blHeader/>
          <w:jc w:val="center"/>
        </w:trPr>
        <w:tc>
          <w:tcPr>
            <w:tcW w:w="721" w:type="dxa"/>
            <w:noWrap w:val="0"/>
            <w:vAlign w:val="center"/>
          </w:tcPr>
          <w:p>
            <w:pPr>
              <w:pStyle w:val="13"/>
              <w:widowControl w:val="0"/>
              <w:spacing w:after="0" w:line="360" w:lineRule="exact"/>
              <w:ind w:left="0" w:leftChars="0" w:firstLine="0" w:firstLineChars="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序号</w:t>
            </w:r>
          </w:p>
        </w:tc>
        <w:tc>
          <w:tcPr>
            <w:tcW w:w="1417" w:type="dxa"/>
            <w:noWrap w:val="0"/>
            <w:vAlign w:val="center"/>
          </w:tcPr>
          <w:p>
            <w:pPr>
              <w:pStyle w:val="13"/>
              <w:widowControl w:val="0"/>
              <w:spacing w:after="0" w:line="360" w:lineRule="exact"/>
              <w:ind w:left="0" w:leftChars="0" w:firstLine="0" w:firstLineChars="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设备名称</w:t>
            </w:r>
          </w:p>
        </w:tc>
        <w:tc>
          <w:tcPr>
            <w:tcW w:w="1134" w:type="dxa"/>
            <w:noWrap w:val="0"/>
            <w:vAlign w:val="center"/>
          </w:tcPr>
          <w:p>
            <w:pPr>
              <w:pStyle w:val="13"/>
              <w:widowControl w:val="0"/>
              <w:spacing w:after="0" w:line="360" w:lineRule="exact"/>
              <w:ind w:left="0" w:leftChars="0" w:firstLine="0" w:firstLineChars="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规格</w:t>
            </w:r>
          </w:p>
          <w:p>
            <w:pPr>
              <w:pStyle w:val="13"/>
              <w:widowControl w:val="0"/>
              <w:spacing w:after="0" w:line="360" w:lineRule="exact"/>
              <w:ind w:left="0" w:leftChars="0" w:firstLine="0" w:firstLineChars="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型号</w:t>
            </w:r>
          </w:p>
        </w:tc>
        <w:tc>
          <w:tcPr>
            <w:tcW w:w="800" w:type="dxa"/>
            <w:noWrap w:val="0"/>
            <w:vAlign w:val="center"/>
          </w:tcPr>
          <w:p>
            <w:pPr>
              <w:pStyle w:val="13"/>
              <w:widowControl w:val="0"/>
              <w:spacing w:after="0" w:line="360" w:lineRule="exact"/>
              <w:ind w:left="0" w:leftChars="0" w:firstLine="0" w:firstLineChars="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单位</w:t>
            </w:r>
          </w:p>
        </w:tc>
        <w:tc>
          <w:tcPr>
            <w:tcW w:w="901" w:type="dxa"/>
            <w:noWrap w:val="0"/>
            <w:vAlign w:val="center"/>
          </w:tcPr>
          <w:p>
            <w:pPr>
              <w:pStyle w:val="13"/>
              <w:widowControl w:val="0"/>
              <w:spacing w:after="0" w:line="360" w:lineRule="exact"/>
              <w:ind w:left="0" w:leftChars="0" w:firstLine="0" w:firstLineChars="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数量</w:t>
            </w:r>
          </w:p>
        </w:tc>
        <w:tc>
          <w:tcPr>
            <w:tcW w:w="4384" w:type="dxa"/>
            <w:noWrap w:val="0"/>
            <w:vAlign w:val="center"/>
          </w:tcPr>
          <w:p>
            <w:pPr>
              <w:pStyle w:val="13"/>
              <w:widowControl w:val="0"/>
              <w:spacing w:after="0" w:line="360" w:lineRule="exact"/>
              <w:ind w:left="0" w:leftChars="0" w:firstLine="0" w:firstLineChars="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40" w:hRule="atLeast"/>
          <w:jc w:val="center"/>
        </w:trPr>
        <w:tc>
          <w:tcPr>
            <w:tcW w:w="72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1</w:t>
            </w:r>
          </w:p>
        </w:tc>
        <w:tc>
          <w:tcPr>
            <w:tcW w:w="1417" w:type="dxa"/>
            <w:noWrap w:val="0"/>
            <w:vAlign w:val="center"/>
          </w:tcPr>
          <w:p>
            <w:pPr>
              <w:widowControl w:val="0"/>
              <w:spacing w:line="360" w:lineRule="exact"/>
              <w:ind w:left="0" w:leftChars="0" w:firstLine="0" w:firstLineChars="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混凝土搅拌站</w:t>
            </w:r>
          </w:p>
        </w:tc>
        <w:tc>
          <w:tcPr>
            <w:tcW w:w="1134"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HZS</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180</w:t>
            </w:r>
          </w:p>
        </w:tc>
        <w:tc>
          <w:tcPr>
            <w:tcW w:w="800"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套</w:t>
            </w:r>
          </w:p>
        </w:tc>
        <w:tc>
          <w:tcPr>
            <w:tcW w:w="90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2</w:t>
            </w:r>
          </w:p>
        </w:tc>
        <w:tc>
          <w:tcPr>
            <w:tcW w:w="4384" w:type="dxa"/>
            <w:noWrap w:val="0"/>
            <w:vAlign w:val="center"/>
          </w:tcPr>
          <w:p>
            <w:pPr>
              <w:widowControl w:val="0"/>
              <w:spacing w:line="32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包括配料站、平皮带机、斜皮带机、主机、水泥计量、掺合料计量、水计量及供水系统、外加剂计量系统、气路系统、搅拌主楼、操作室、控制系统、粉罐</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水泥罐2只300t,其它2只200t</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、粉罐配套件。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72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2</w:t>
            </w:r>
          </w:p>
        </w:tc>
        <w:tc>
          <w:tcPr>
            <w:tcW w:w="1417"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法规搅拌车</w:t>
            </w:r>
          </w:p>
        </w:tc>
        <w:tc>
          <w:tcPr>
            <w:tcW w:w="1134" w:type="dxa"/>
            <w:noWrap w:val="0"/>
            <w:vAlign w:val="center"/>
          </w:tcPr>
          <w:p>
            <w:pPr>
              <w:widowControl w:val="0"/>
              <w:spacing w:line="360" w:lineRule="exact"/>
              <w:ind w:left="0" w:leftChars="0" w:firstLine="0" w:firstLineChars="0"/>
              <w:jc w:val="cente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12</w:t>
            </w:r>
          </w:p>
        </w:tc>
        <w:tc>
          <w:tcPr>
            <w:tcW w:w="800"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辆</w:t>
            </w:r>
          </w:p>
        </w:tc>
        <w:tc>
          <w:tcPr>
            <w:tcW w:w="901"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10</w:t>
            </w:r>
          </w:p>
        </w:tc>
        <w:tc>
          <w:tcPr>
            <w:tcW w:w="4384" w:type="dxa"/>
            <w:noWrap w:val="0"/>
            <w:vAlign w:val="center"/>
          </w:tcPr>
          <w:p>
            <w:pPr>
              <w:pStyle w:val="13"/>
              <w:ind w:left="0" w:leftChars="0" w:firstLine="0" w:firstLineChars="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宋体" w:hAnsi="宋体" w:eastAsia="宋体"/>
                <w:color w:val="000000" w:themeColor="text1"/>
                <w:kern w:val="2"/>
                <w:sz w:val="21"/>
                <w:szCs w:val="21"/>
                <w14:textFill>
                  <w14:solidFill>
                    <w14:schemeClr w14:val="tx1"/>
                  </w14:solidFill>
                </w14:textFill>
              </w:rPr>
              <w:t>外形尺寸（长*宽*高）：≤11000*2600*4000mm，轴数：4轴，整车装备质量：≤15600kg，实际搅动容量：≥10m³；最小转弯直径：≤24m。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2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3</w:t>
            </w:r>
          </w:p>
        </w:tc>
        <w:tc>
          <w:tcPr>
            <w:tcW w:w="1417"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混凝土泵车</w:t>
            </w:r>
          </w:p>
        </w:tc>
        <w:tc>
          <w:tcPr>
            <w:tcW w:w="1134" w:type="dxa"/>
            <w:noWrap w:val="0"/>
            <w:vAlign w:val="center"/>
          </w:tcPr>
          <w:p>
            <w:pPr>
              <w:widowControl w:val="0"/>
              <w:spacing w:line="360" w:lineRule="exact"/>
              <w:ind w:left="0" w:leftChars="0" w:firstLine="0" w:firstLineChars="0"/>
              <w:jc w:val="cente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宋体" w:cs="宋体"/>
                <w:color w:val="000000" w:themeColor="text1"/>
                <w:kern w:val="0"/>
                <w:sz w:val="24"/>
                <w:u w:val="none"/>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u w:val="none"/>
                <w:lang w:val="en-US" w:eastAsia="zh-CN"/>
                <w14:textFill>
                  <w14:solidFill>
                    <w14:schemeClr w14:val="tx1"/>
                  </w14:solidFill>
                </w14:textFill>
              </w:rPr>
              <w:t>49</w:t>
            </w:r>
          </w:p>
        </w:tc>
        <w:tc>
          <w:tcPr>
            <w:tcW w:w="800"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辆</w:t>
            </w:r>
          </w:p>
        </w:tc>
        <w:tc>
          <w:tcPr>
            <w:tcW w:w="90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w:t>
            </w:r>
          </w:p>
        </w:tc>
        <w:tc>
          <w:tcPr>
            <w:tcW w:w="4384" w:type="dxa"/>
            <w:noWrap w:val="0"/>
            <w:vAlign w:val="center"/>
          </w:tcPr>
          <w:p>
            <w:pPr>
              <w:widowControl w:val="0"/>
              <w:spacing w:line="36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宋体" w:hAnsi="宋体" w:eastAsia="宋体"/>
                <w:color w:val="000000" w:themeColor="text1"/>
                <w:kern w:val="2"/>
                <w:sz w:val="21"/>
                <w:szCs w:val="21"/>
                <w14:textFill>
                  <w14:solidFill>
                    <w14:schemeClr w14:val="tx1"/>
                  </w14:solidFill>
                </w14:textFill>
              </w:rPr>
              <w:t>与整车功能要求匹配，混凝土泵送理论排量≥170 m³/h，系统油压：≥32 MPa，输送缸径（mm）：≥260mm。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2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4</w:t>
            </w:r>
          </w:p>
        </w:tc>
        <w:tc>
          <w:tcPr>
            <w:tcW w:w="1417"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混凝土泵车</w:t>
            </w:r>
          </w:p>
        </w:tc>
        <w:tc>
          <w:tcPr>
            <w:tcW w:w="1134" w:type="dxa"/>
            <w:noWrap w:val="0"/>
            <w:vAlign w:val="center"/>
          </w:tcPr>
          <w:p>
            <w:pPr>
              <w:widowControl w:val="0"/>
              <w:spacing w:line="360" w:lineRule="exact"/>
              <w:ind w:left="0" w:leftChars="0" w:firstLine="0" w:firstLineChars="0"/>
              <w:jc w:val="center"/>
              <w:rPr>
                <w:rFonts w:hint="default" w:eastAsia="宋体" w:asciiTheme="minorEastAsia" w:hAnsiTheme="minorEastAsia" w:cstheme="minorEastAsia"/>
                <w:color w:val="000000" w:themeColor="text1"/>
                <w:kern w:val="0"/>
                <w:sz w:val="24"/>
                <w:szCs w:val="24"/>
                <w:lang w:val="en-US" w:eastAsia="zh-CN"/>
                <w14:textFill>
                  <w14:solidFill>
                    <w14:schemeClr w14:val="tx1"/>
                  </w14:solidFill>
                </w14:textFill>
              </w:rPr>
            </w:pPr>
            <w:r>
              <w:rPr>
                <w:rFonts w:hint="eastAsia" w:ascii="宋体" w:cs="宋体"/>
                <w:color w:val="000000" w:themeColor="text1"/>
                <w:kern w:val="0"/>
                <w:sz w:val="24"/>
                <w:u w:val="none"/>
                <w14:textFill>
                  <w14:solidFill>
                    <w14:schemeClr w14:val="tx1"/>
                  </w14:solidFill>
                </w14:textFill>
              </w:rPr>
              <w:t>≥</w:t>
            </w:r>
            <w:r>
              <w:rPr>
                <w:rFonts w:hint="eastAsia" w:ascii="宋体" w:cs="宋体"/>
                <w:color w:val="000000" w:themeColor="text1"/>
                <w:kern w:val="0"/>
                <w:sz w:val="24"/>
                <w:u w:val="none"/>
                <w:lang w:val="en-US" w:eastAsia="zh-CN"/>
                <w14:textFill>
                  <w14:solidFill>
                    <w14:schemeClr w14:val="tx1"/>
                  </w14:solidFill>
                </w14:textFill>
              </w:rPr>
              <w:t>56</w:t>
            </w:r>
          </w:p>
        </w:tc>
        <w:tc>
          <w:tcPr>
            <w:tcW w:w="800"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辆</w:t>
            </w:r>
          </w:p>
        </w:tc>
        <w:tc>
          <w:tcPr>
            <w:tcW w:w="90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w:t>
            </w:r>
          </w:p>
        </w:tc>
        <w:tc>
          <w:tcPr>
            <w:tcW w:w="4384" w:type="dxa"/>
            <w:noWrap w:val="0"/>
            <w:vAlign w:val="center"/>
          </w:tcPr>
          <w:p>
            <w:pPr>
              <w:widowControl w:val="0"/>
              <w:spacing w:line="36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宋体" w:hAnsi="宋体" w:eastAsia="宋体"/>
                <w:color w:val="000000" w:themeColor="text1"/>
                <w:kern w:val="2"/>
                <w:sz w:val="21"/>
                <w:szCs w:val="21"/>
                <w14:textFill>
                  <w14:solidFill>
                    <w14:schemeClr w14:val="tx1"/>
                  </w14:solidFill>
                </w14:textFill>
              </w:rPr>
              <w:t>与整车功能要求匹配，混凝土泵送理论排量≥170 m³/h，系统油压：≥32 MPa，输送缸径（mm）：≥260mm。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2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w:t>
            </w:r>
          </w:p>
        </w:tc>
        <w:tc>
          <w:tcPr>
            <w:tcW w:w="1417"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装载机</w:t>
            </w:r>
          </w:p>
        </w:tc>
        <w:tc>
          <w:tcPr>
            <w:tcW w:w="1134" w:type="dxa"/>
            <w:noWrap w:val="0"/>
            <w:vAlign w:val="center"/>
          </w:tcPr>
          <w:p>
            <w:pPr>
              <w:widowControl w:val="0"/>
              <w:spacing w:line="360" w:lineRule="exact"/>
              <w:ind w:left="0" w:leftChars="0" w:firstLine="0" w:firstLineChars="0"/>
              <w:jc w:val="cente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5T</w:t>
            </w:r>
          </w:p>
        </w:tc>
        <w:tc>
          <w:tcPr>
            <w:tcW w:w="800"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辆</w:t>
            </w:r>
          </w:p>
        </w:tc>
        <w:tc>
          <w:tcPr>
            <w:tcW w:w="901" w:type="dxa"/>
            <w:noWrap w:val="0"/>
            <w:vAlign w:val="center"/>
          </w:tcPr>
          <w:p>
            <w:pPr>
              <w:widowControl w:val="0"/>
              <w:spacing w:line="360" w:lineRule="exact"/>
              <w:ind w:left="0" w:leftChars="0" w:firstLine="0" w:firstLineChars="0"/>
              <w:jc w:val="both"/>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2</w:t>
            </w:r>
          </w:p>
        </w:tc>
        <w:tc>
          <w:tcPr>
            <w:tcW w:w="4384" w:type="dxa"/>
            <w:noWrap w:val="0"/>
            <w:vAlign w:val="center"/>
          </w:tcPr>
          <w:p>
            <w:pPr>
              <w:widowControl w:val="0"/>
              <w:spacing w:line="360" w:lineRule="exact"/>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宋体" w:hAnsi="宋体" w:eastAsia="宋体"/>
                <w:color w:val="000000" w:themeColor="text1"/>
                <w:kern w:val="2"/>
                <w:sz w:val="21"/>
                <w:szCs w:val="21"/>
                <w14:textFill>
                  <w14:solidFill>
                    <w14:schemeClr w14:val="tx1"/>
                  </w14:solidFill>
                </w14:textFill>
              </w:rPr>
              <w:t>整车装载质量≥5.5t；斗容≥3.5m³；最大爬坡角度不小于25°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721"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6</w:t>
            </w:r>
          </w:p>
        </w:tc>
        <w:tc>
          <w:tcPr>
            <w:tcW w:w="1417"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挖机</w:t>
            </w:r>
          </w:p>
        </w:tc>
        <w:tc>
          <w:tcPr>
            <w:tcW w:w="1134" w:type="dxa"/>
            <w:noWrap w:val="0"/>
            <w:vAlign w:val="center"/>
          </w:tcPr>
          <w:p>
            <w:pPr>
              <w:widowControl w:val="0"/>
              <w:spacing w:line="360" w:lineRule="exact"/>
              <w:ind w:left="0" w:leftChars="0" w:firstLine="0" w:firstLineChars="0"/>
              <w:jc w:val="center"/>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215</w:t>
            </w:r>
          </w:p>
        </w:tc>
        <w:tc>
          <w:tcPr>
            <w:tcW w:w="800"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台</w:t>
            </w:r>
          </w:p>
        </w:tc>
        <w:tc>
          <w:tcPr>
            <w:tcW w:w="901" w:type="dxa"/>
            <w:noWrap w:val="0"/>
            <w:vAlign w:val="center"/>
          </w:tcPr>
          <w:p>
            <w:pPr>
              <w:widowControl w:val="0"/>
              <w:spacing w:line="360" w:lineRule="exact"/>
              <w:ind w:left="0" w:leftChars="0" w:firstLine="0" w:firstLineChars="0"/>
              <w:jc w:val="both"/>
              <w:rPr>
                <w:rFonts w:hint="default"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w:t>
            </w:r>
          </w:p>
        </w:tc>
        <w:tc>
          <w:tcPr>
            <w:tcW w:w="4384" w:type="dxa"/>
            <w:noWrap w:val="0"/>
            <w:vAlign w:val="center"/>
          </w:tcPr>
          <w:p>
            <w:pPr>
              <w:widowControl w:val="0"/>
              <w:spacing w:line="360" w:lineRule="exact"/>
              <w:jc w:val="left"/>
              <w:rPr>
                <w:rFonts w:hint="eastAsia" w:ascii="宋体" w:hAnsi="宋体" w:eastAsia="宋体"/>
                <w:color w:val="000000" w:themeColor="text1"/>
                <w:kern w:val="2"/>
                <w:sz w:val="21"/>
                <w:szCs w:val="21"/>
                <w14:textFill>
                  <w14:solidFill>
                    <w14:schemeClr w14:val="tx1"/>
                  </w14:solidFill>
                </w14:textFill>
              </w:rPr>
            </w:pPr>
          </w:p>
        </w:tc>
      </w:tr>
    </w:tbl>
    <w:p>
      <w:pPr>
        <w:pStyle w:val="3"/>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1、混凝土搅拌站技术参数要求</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7" w:type="dxa"/>
          <w:bottom w:w="57" w:type="dxa"/>
          <w:right w:w="17" w:type="dxa"/>
        </w:tblCellMar>
      </w:tblPr>
      <w:tblGrid>
        <w:gridCol w:w="683"/>
        <w:gridCol w:w="1523"/>
        <w:gridCol w:w="6604"/>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510" w:hRule="atLeast"/>
          <w:tblHeader/>
          <w:jc w:val="center"/>
        </w:trPr>
        <w:tc>
          <w:tcPr>
            <w:tcW w:w="353" w:type="pct"/>
            <w:noWrap w:val="0"/>
            <w:vAlign w:val="center"/>
          </w:tcPr>
          <w:p>
            <w:pPr>
              <w:widowControl w:val="0"/>
              <w:spacing w:line="340" w:lineRule="exact"/>
              <w:ind w:left="0" w:leftChars="0" w:firstLine="0" w:firstLineChars="0"/>
              <w:jc w:val="center"/>
              <w:textAlignment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序号</w:t>
            </w:r>
          </w:p>
        </w:tc>
        <w:tc>
          <w:tcPr>
            <w:tcW w:w="787" w:type="pct"/>
            <w:noWrap w:val="0"/>
            <w:vAlign w:val="center"/>
          </w:tcPr>
          <w:p>
            <w:pPr>
              <w:widowControl w:val="0"/>
              <w:spacing w:line="340" w:lineRule="exact"/>
              <w:ind w:left="0" w:leftChars="0" w:firstLine="0" w:firstLineChars="0"/>
              <w:jc w:val="center"/>
              <w:textAlignment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部件名称</w:t>
            </w:r>
          </w:p>
        </w:tc>
        <w:tc>
          <w:tcPr>
            <w:tcW w:w="3413" w:type="pct"/>
            <w:noWrap w:val="0"/>
            <w:vAlign w:val="center"/>
          </w:tcPr>
          <w:p>
            <w:pPr>
              <w:widowControl w:val="0"/>
              <w:spacing w:line="340" w:lineRule="exact"/>
              <w:jc w:val="center"/>
              <w:textAlignment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技术规格及要求</w:t>
            </w:r>
          </w:p>
        </w:tc>
        <w:tc>
          <w:tcPr>
            <w:tcW w:w="445" w:type="pct"/>
            <w:noWrap w:val="0"/>
            <w:vAlign w:val="center"/>
          </w:tcPr>
          <w:p>
            <w:pPr>
              <w:widowControl w:val="0"/>
              <w:spacing w:line="340" w:lineRule="exact"/>
              <w:ind w:firstLine="0" w:firstLineChars="0"/>
              <w:jc w:val="center"/>
              <w:textAlignment w:val="center"/>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376"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总体技术性能要求</w:t>
            </w:r>
          </w:p>
        </w:tc>
        <w:tc>
          <w:tcPr>
            <w:tcW w:w="3413" w:type="pct"/>
            <w:shd w:val="clear" w:color="auto" w:fill="FFFFFF"/>
            <w:noWrap w:val="0"/>
            <w:vAlign w:val="center"/>
          </w:tcPr>
          <w:p>
            <w:pPr>
              <w:widowControl w:val="0"/>
              <w:tabs>
                <w:tab w:val="left" w:pos="1929"/>
              </w:tabs>
              <w:spacing w:line="340" w:lineRule="exact"/>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1.HZS</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180</w:t>
            </w:r>
            <w:r>
              <w:rPr>
                <w:rFonts w:hint="eastAsia" w:asciiTheme="minorEastAsia" w:hAnsiTheme="minorEastAsia" w:eastAsiaTheme="minorEastAsia" w:cstheme="minorEastAsia"/>
                <w:color w:val="000000" w:themeColor="text1"/>
                <w:sz w:val="24"/>
                <w:szCs w:val="24"/>
                <w14:textFill>
                  <w14:solidFill>
                    <w14:schemeClr w14:val="tx1"/>
                  </w14:solidFill>
                </w14:textFill>
              </w:rPr>
              <w:t>型混凝土搅拌设备配置齐全，质量可靠，性能优越。满足普通工业民用建筑、城建市政等所用的商品混凝土的生产。</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2.执行标准</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GB/T9142  混凝土搅拌机2000</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 T10171  混凝土搅拌站（楼）2016</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GB/T10595带式输送机技术条件2015</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GB14902   预拌混凝土2012</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GB50164   混凝土质量控制标准2011</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JGJ3     高层建筑混凝土结构技术规程2010</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GBJ107    混凝土强度检验评定标准2010</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GB/T7724  称重显示控制器2008   </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GB14249.1电子衡器安全要求1993</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 12348  工业企业厂界环境噪声排放标准2008</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GB 20426  大气污染物综合排放标准2006</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JB/T5946  工程机械涂装通用技术条件1991</w:t>
            </w:r>
          </w:p>
          <w:p>
            <w:pPr>
              <w:widowControl w:val="0"/>
              <w:spacing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JG/T5079.1建筑机械与设备噪声限值1996</w:t>
            </w:r>
          </w:p>
        </w:tc>
        <w:tc>
          <w:tcPr>
            <w:tcW w:w="445" w:type="pct"/>
            <w:shd w:val="clear" w:color="auto" w:fill="FFFFFF"/>
            <w:noWrap w:val="0"/>
            <w:vAlign w:val="center"/>
          </w:tcPr>
          <w:p>
            <w:pPr>
              <w:widowControl w:val="0"/>
              <w:tabs>
                <w:tab w:val="left" w:pos="1929"/>
              </w:tabs>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3617"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整机形式</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1.整机采用4个粉罐</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水泥罐2只300t,其它2只200t</w:t>
            </w:r>
            <w:r>
              <w:rPr>
                <w:rFonts w:hint="eastAsia" w:asciiTheme="minorEastAsia" w:hAnsiTheme="minorEastAsia" w:eastAsiaTheme="minorEastAsia" w:cstheme="minorEastAsia"/>
                <w:color w:val="000000" w:themeColor="text1"/>
                <w:kern w:val="0"/>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2.整机采用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个骨料。</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4.整机采用斜皮带上料方式。</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5.卸料高度≥4米。</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6.计量精度及范围(Kg)：</w:t>
            </w:r>
          </w:p>
          <w:p>
            <w:pPr>
              <w:widowControl w:val="0"/>
              <w:spacing w:line="340" w:lineRule="exact"/>
              <w:ind w:firstLine="720" w:firstLineChars="3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骨料称(900～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3000</w:t>
            </w:r>
            <w:r>
              <w:rPr>
                <w:rFonts w:hint="eastAsia" w:asciiTheme="minorEastAsia" w:hAnsiTheme="minorEastAsia" w:eastAsiaTheme="minorEastAsia" w:cstheme="minorEastAsia"/>
                <w:color w:val="000000" w:themeColor="text1"/>
                <w:sz w:val="24"/>
                <w:szCs w:val="24"/>
                <w14:textFill>
                  <w14:solidFill>
                    <w14:schemeClr w14:val="tx1"/>
                  </w14:solidFill>
                </w14:textFill>
              </w:rPr>
              <w:t>)±2%</w:t>
            </w:r>
          </w:p>
          <w:p>
            <w:pPr>
              <w:widowControl w:val="0"/>
              <w:spacing w:line="340" w:lineRule="exact"/>
              <w:ind w:firstLine="720" w:firstLineChars="3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水泥称(400～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1200</w:t>
            </w:r>
            <w:r>
              <w:rPr>
                <w:rFonts w:hint="eastAsia" w:asciiTheme="minorEastAsia" w:hAnsiTheme="minorEastAsia" w:eastAsiaTheme="minorEastAsia" w:cstheme="minorEastAsia"/>
                <w:color w:val="000000" w:themeColor="text1"/>
                <w:sz w:val="24"/>
                <w:szCs w:val="24"/>
                <w14:textFill>
                  <w14:solidFill>
                    <w14:schemeClr w14:val="tx1"/>
                  </w14:solidFill>
                </w14:textFill>
              </w:rPr>
              <w:t>)±1%</w:t>
            </w:r>
          </w:p>
          <w:p>
            <w:pPr>
              <w:widowControl w:val="0"/>
              <w:spacing w:line="340" w:lineRule="exact"/>
              <w:ind w:firstLine="720" w:firstLineChars="3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粉煤灰(300～</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900</w:t>
            </w:r>
            <w:r>
              <w:rPr>
                <w:rFonts w:hint="eastAsia" w:asciiTheme="minorEastAsia" w:hAnsiTheme="minorEastAsia" w:eastAsiaTheme="minorEastAsia" w:cstheme="minorEastAsia"/>
                <w:color w:val="000000" w:themeColor="text1"/>
                <w:sz w:val="24"/>
                <w:szCs w:val="24"/>
                <w14:textFill>
                  <w14:solidFill>
                    <w14:schemeClr w14:val="tx1"/>
                  </w14:solidFill>
                </w14:textFill>
              </w:rPr>
              <w:t>)±1%</w:t>
            </w:r>
          </w:p>
          <w:p>
            <w:pPr>
              <w:widowControl w:val="0"/>
              <w:spacing w:line="340" w:lineRule="exact"/>
              <w:ind w:firstLine="720" w:firstLineChars="3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水称(200～1200)±1%</w:t>
            </w:r>
          </w:p>
          <w:p>
            <w:pPr>
              <w:widowControl w:val="0"/>
              <w:spacing w:line="340" w:lineRule="exact"/>
              <w:ind w:firstLine="720" w:firstLineChars="3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外加剂称(20～100)±1%。</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995"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生产能力</w:t>
            </w:r>
          </w:p>
        </w:tc>
        <w:tc>
          <w:tcPr>
            <w:tcW w:w="3413" w:type="pct"/>
            <w:shd w:val="clear" w:color="auto" w:fill="FFFFFF"/>
            <w:noWrap w:val="0"/>
            <w:vAlign w:val="center"/>
          </w:tcPr>
          <w:p>
            <w:pPr>
              <w:widowControl w:val="0"/>
              <w:spacing w:line="340" w:lineRule="exact"/>
              <w:ind w:firstLine="440" w:firstLineChars="200"/>
              <w:jc w:val="left"/>
              <w:textAlignment w:val="cente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10"/>
                <w:szCs w:val="21"/>
                <w14:textFill>
                  <w14:solidFill>
                    <w14:schemeClr w14:val="tx1"/>
                  </w14:solidFill>
                </w14:textFill>
              </w:rPr>
              <w:t>★</w:t>
            </w:r>
            <w: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t>1.理论生产能力</w:t>
            </w:r>
            <w:r>
              <w:rPr>
                <w:rFonts w:hint="eastAsia" w:asciiTheme="minorEastAsia" w:hAnsiTheme="minorEastAsia" w:eastAsiaTheme="minorEastAsia" w:cstheme="minorEastAsia"/>
                <w:color w:val="000000" w:themeColor="text1"/>
                <w:spacing w:val="-10"/>
                <w:sz w:val="24"/>
                <w:szCs w:val="24"/>
                <w:lang w:val="en-US" w:eastAsia="zh-CN"/>
                <w14:textFill>
                  <w14:solidFill>
                    <w14:schemeClr w14:val="tx1"/>
                  </w14:solidFill>
                </w14:textFill>
              </w:rPr>
              <w:t>180</w:t>
            </w:r>
            <w: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t>m³/h,每盘最大生产能力</w:t>
            </w:r>
            <w:r>
              <w:rPr>
                <w:rFonts w:hint="eastAsia" w:asciiTheme="minorEastAsia" w:hAnsiTheme="minorEastAsia" w:eastAsiaTheme="minorEastAsia" w:cstheme="minorEastAsia"/>
                <w:color w:val="000000" w:themeColor="text1"/>
                <w:spacing w:val="-10"/>
                <w:szCs w:val="21"/>
                <w14:textFill>
                  <w14:solidFill>
                    <w14:schemeClr w14:val="tx1"/>
                  </w14:solidFill>
                </w14:textFill>
              </w:rPr>
              <w:t>≥</w:t>
            </w:r>
            <w:r>
              <w:rPr>
                <w:rFonts w:hint="eastAsia" w:asciiTheme="minorEastAsia" w:hAnsiTheme="minorEastAsia" w:eastAsiaTheme="minorEastAsia" w:cstheme="minorEastAsia"/>
                <w:color w:val="000000" w:themeColor="text1"/>
                <w:spacing w:val="-10"/>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t>.0m³。</w:t>
            </w:r>
          </w:p>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2.成品料均匀一致，坍落度等指标满足要求，无离析现象。</w:t>
            </w:r>
          </w:p>
        </w:tc>
        <w:tc>
          <w:tcPr>
            <w:tcW w:w="445" w:type="pct"/>
            <w:shd w:val="clear" w:color="auto" w:fill="FFFFFF"/>
            <w:noWrap w:val="0"/>
            <w:vAlign w:val="center"/>
          </w:tcPr>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216"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配电条件</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1.配电条件：三相四线制380V/50HZ，照明电压220V/50HZ</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2.全部电器线路有过载安全保护装置，电气系统具备漏电、欠压、过压、错相、断相等全方位保护。</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20"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骨料配料系统</w:t>
            </w:r>
          </w:p>
        </w:tc>
        <w:tc>
          <w:tcPr>
            <w:tcW w:w="3413" w:type="pct"/>
            <w:shd w:val="clear" w:color="auto" w:fill="FFFFFF"/>
            <w:noWrap w:val="0"/>
            <w:vAlign w:val="center"/>
          </w:tcPr>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1.整机采用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个</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钢结构</w:t>
            </w:r>
            <w:r>
              <w:rPr>
                <w:rFonts w:hint="eastAsia" w:asciiTheme="minorEastAsia" w:hAnsiTheme="minorEastAsia" w:eastAsiaTheme="minorEastAsia" w:cstheme="minorEastAsia"/>
                <w:color w:val="000000" w:themeColor="text1"/>
                <w:sz w:val="24"/>
                <w:szCs w:val="24"/>
                <w14:textFill>
                  <w14:solidFill>
                    <w14:schemeClr w14:val="tx1"/>
                  </w14:solidFill>
                </w14:textFill>
              </w:rPr>
              <w:t>形式配料仓。</w:t>
            </w:r>
          </w:p>
          <w:p>
            <w:pPr>
              <w:widowControl w:val="0"/>
              <w:spacing w:before="0" w:after="0" w:line="34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配料仓分为储料斗和计量斗。</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3.储料斗配粗精称卸料门，能实现多档多速配料。</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4.单仓砂储料斗需配不少于4个振动电机，单仓砂计量斗需要配不少于1个振动电机。</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5.为防止斗体开裂，所有振动电机不能采用直接震动斗体的方式。</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 为适应不同骨料下料速度，提高计量精度，骨料计量斗需设置可调节装置，限制计量斗门的开关门大小。</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7.</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骨料计量系统</w:t>
            </w:r>
            <w:r>
              <w:rPr>
                <w:rFonts w:hint="eastAsia" w:asciiTheme="minorEastAsia" w:hAnsiTheme="minorEastAsia" w:eastAsiaTheme="minorEastAsia" w:cstheme="minorEastAsia"/>
                <w:bCs/>
                <w:color w:val="000000" w:themeColor="text1"/>
                <w:sz w:val="24"/>
                <w:szCs w:val="24"/>
                <w:lang w:val="en-US" w:eastAsia="zh-CN"/>
                <w14:textFill>
                  <w14:solidFill>
                    <w14:schemeClr w14:val="tx1"/>
                  </w14:solidFill>
                </w14:textFill>
              </w:rPr>
              <w:t>8</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套，具备粗、精计量方式，有自动补、扣秤功能。最大称量值≥4500kg；精度：≤±2％；砂计量仓采用内振动板结构，确保卸料顺畅，单称应配置≥4个传感器，并带有传感器防护罩。</w:t>
            </w:r>
            <w:r>
              <w:rPr>
                <w:rFonts w:hint="eastAsia" w:asciiTheme="minorEastAsia" w:hAnsiTheme="minorEastAsia" w:eastAsiaTheme="minorEastAsia" w:cstheme="minorEastAsia"/>
                <w:color w:val="000000" w:themeColor="text1"/>
                <w:sz w:val="24"/>
                <w:szCs w:val="24"/>
                <w14:textFill>
                  <w14:solidFill>
                    <w14:schemeClr w14:val="tx1"/>
                  </w14:solidFill>
                </w14:textFill>
              </w:rPr>
              <w:t>传感器推荐品牌：托利多/青岛同乐/霍尼韦尔/博世</w:t>
            </w:r>
          </w:p>
          <w:p>
            <w:pPr>
              <w:pStyle w:val="13"/>
              <w:widowControl w:val="0"/>
              <w:spacing w:line="340" w:lineRule="exact"/>
              <w:ind w:left="0" w:leftChars="0" w:firstLine="199" w:firstLineChars="83"/>
              <w:jc w:val="left"/>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 xml:space="preserve">   气动元件推荐品牌：亚德客/亿日/</w:t>
            </w:r>
            <w:r>
              <w:rPr>
                <w:rFonts w:hint="eastAsia" w:asciiTheme="minorEastAsia" w:hAnsiTheme="minorEastAsia" w:eastAsiaTheme="minorEastAsia" w:cstheme="minorEastAsia"/>
                <w:color w:val="000000" w:themeColor="text1"/>
                <w:szCs w:val="21"/>
                <w14:textFill>
                  <w14:solidFill>
                    <w14:schemeClr w14:val="tx1"/>
                  </w14:solidFill>
                </w14:textFill>
              </w:rPr>
              <w:t>费托斯</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3246" w:hRule="atLeast"/>
          <w:jc w:val="center"/>
        </w:trPr>
        <w:tc>
          <w:tcPr>
            <w:tcW w:w="353" w:type="pct"/>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w:t>
            </w:r>
          </w:p>
        </w:tc>
        <w:tc>
          <w:tcPr>
            <w:tcW w:w="787" w:type="pct"/>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平皮带输送机</w:t>
            </w:r>
          </w:p>
        </w:tc>
        <w:tc>
          <w:tcPr>
            <w:tcW w:w="3413"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1.平皮带采用K系列空心轴减速机传动。</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2.尼龙输送带采用NN200-1200-5(4.5+1.5)型式。</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3.带速2m/s。</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4.平皮带机架采用单层机架形式，尾部采用螺杆张紧装置，设置防止皮带跑偏装置。</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5.头部清扫采用聚氨酯刮料器或C型刮料器，确保刮料干净。</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6.配有急停装置，遇到紧急情况可随时停机，确保运行安全可靠。</w:t>
            </w:r>
          </w:p>
          <w:p>
            <w:pPr>
              <w:pStyle w:val="13"/>
              <w:widowControl w:val="0"/>
              <w:spacing w:line="340" w:lineRule="exact"/>
              <w:ind w:left="0" w:leftChars="0" w:firstLine="439" w:firstLineChars="183"/>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7.输送带推荐品牌：浙江三维/桐乡双箭/青岛橡六</w:t>
            </w:r>
          </w:p>
        </w:tc>
        <w:tc>
          <w:tcPr>
            <w:tcW w:w="445"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20" w:hRule="atLeast"/>
          <w:jc w:val="center"/>
        </w:trPr>
        <w:tc>
          <w:tcPr>
            <w:tcW w:w="353" w:type="pct"/>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w:t>
            </w:r>
          </w:p>
        </w:tc>
        <w:tc>
          <w:tcPr>
            <w:tcW w:w="787" w:type="pct"/>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斜皮带</w:t>
            </w:r>
          </w:p>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输送机</w:t>
            </w:r>
          </w:p>
        </w:tc>
        <w:tc>
          <w:tcPr>
            <w:tcW w:w="3413"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1.斜皮带采用V带传动，减速电机具备止逆装置。</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2.尼龙输送带采用NN200-1200-5(4.5+1.5)型式。</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3.带速2.5m/s。</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4.皮带机配备立辊、调心托辊等，有自动纠偏效果。</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5.头部清扫采用聚氨酯刮料器或C型刮料器和间歇式冲洗装置，尾部配置空段清扫器，确保刮料干净。</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6.斜皮带两侧配备维修走台，走台采用镀锌钢格板铺设。</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7.机架采用框架结构，上部配备钢板弧形防护罩。</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8.头部设置皮带罩，用以保护人员无法直接接触到V带。</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9.配有急停装置或拉绳开关，遇到紧急情况可随时停机，确保运行安全可靠。</w:t>
            </w:r>
          </w:p>
          <w:p>
            <w:pPr>
              <w:pStyle w:val="13"/>
              <w:widowControl w:val="0"/>
              <w:spacing w:line="340" w:lineRule="exact"/>
              <w:ind w:left="0" w:leftChars="0" w:firstLine="48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10.输送带推荐品牌：浙江三维/桐乡双箭/青岛橡六</w:t>
            </w:r>
          </w:p>
        </w:tc>
        <w:tc>
          <w:tcPr>
            <w:tcW w:w="445"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20" w:hRule="atLeast"/>
          <w:jc w:val="center"/>
        </w:trPr>
        <w:tc>
          <w:tcPr>
            <w:tcW w:w="353" w:type="pct"/>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8</w:t>
            </w:r>
          </w:p>
        </w:tc>
        <w:tc>
          <w:tcPr>
            <w:tcW w:w="787" w:type="pct"/>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骨料中间仓</w:t>
            </w:r>
          </w:p>
        </w:tc>
        <w:tc>
          <w:tcPr>
            <w:tcW w:w="3413"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1.考虑到生产效率，在斜皮带接料斗上方设置骨料中间仓。</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2.计量斗1个，容积≥</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m³</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3.计量斗采用3点称重，配压式传感器。</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4.计量斗配振动器，利于骨料下料。</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5.配置脉冲反吹除尘器，过滤面积不小于30㎡。</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传感器推荐品牌：托利多/青岛同乐/霍尼韦尔/博世，</w:t>
            </w:r>
            <w:r>
              <w:rPr>
                <w:rFonts w:hint="eastAsia" w:asciiTheme="minorEastAsia" w:hAnsiTheme="minorEastAsia" w:eastAsiaTheme="minorEastAsia" w:cstheme="minorEastAsia"/>
                <w:color w:val="000000" w:themeColor="text1"/>
                <w14:textFill>
                  <w14:solidFill>
                    <w14:schemeClr w14:val="tx1"/>
                  </w14:solidFill>
                </w14:textFill>
              </w:rPr>
              <w:t>气动元件推荐品牌：亚德客/亿日/</w:t>
            </w:r>
            <w:r>
              <w:rPr>
                <w:rFonts w:hint="eastAsia" w:asciiTheme="minorEastAsia" w:hAnsiTheme="minorEastAsia" w:eastAsiaTheme="minorEastAsia" w:cstheme="minorEastAsia"/>
                <w:color w:val="000000" w:themeColor="text1"/>
                <w:szCs w:val="21"/>
                <w14:textFill>
                  <w14:solidFill>
                    <w14:schemeClr w14:val="tx1"/>
                  </w14:solidFill>
                </w14:textFill>
              </w:rPr>
              <w:t>费托斯。</w:t>
            </w:r>
          </w:p>
        </w:tc>
        <w:tc>
          <w:tcPr>
            <w:tcW w:w="445"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20" w:hRule="atLeast"/>
          <w:jc w:val="center"/>
        </w:trPr>
        <w:tc>
          <w:tcPr>
            <w:tcW w:w="353" w:type="pct"/>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w:t>
            </w:r>
          </w:p>
        </w:tc>
        <w:tc>
          <w:tcPr>
            <w:tcW w:w="787" w:type="pct"/>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主楼框架</w:t>
            </w:r>
          </w:p>
        </w:tc>
        <w:tc>
          <w:tcPr>
            <w:tcW w:w="3413"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1.主楼采用钢结构搭建而成。</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 主楼内配钢制梯子，保证人员能进入到主楼每层，梯子带安全护栏。</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 进入主楼的楼梯，满足《GB 4053.2-2009固定式钢梯及平台安全要求》梯高要求。楼梯高大于5米时，需设梯间平台(休息平台)。</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4.主楼内配备照明系统，不少于6个LED照明灯。</w:t>
            </w:r>
          </w:p>
        </w:tc>
        <w:tc>
          <w:tcPr>
            <w:tcW w:w="445" w:type="pct"/>
            <w:noWrap w:val="0"/>
            <w:vAlign w:val="center"/>
          </w:tcPr>
          <w:p>
            <w:pPr>
              <w:widowControl w:val="0"/>
              <w:spacing w:line="340" w:lineRule="exact"/>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4729" w:hRule="atLeast"/>
          <w:jc w:val="center"/>
        </w:trPr>
        <w:tc>
          <w:tcPr>
            <w:tcW w:w="353" w:type="pct"/>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10</w:t>
            </w:r>
          </w:p>
        </w:tc>
        <w:tc>
          <w:tcPr>
            <w:tcW w:w="787" w:type="pct"/>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搅拌主</w:t>
            </w:r>
          </w:p>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机系统</w:t>
            </w:r>
          </w:p>
        </w:tc>
        <w:tc>
          <w:tcPr>
            <w:tcW w:w="3413" w:type="pct"/>
            <w:noWrap w:val="0"/>
            <w:vAlign w:val="center"/>
          </w:tcPr>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1.搅拌主机采用双卧轴式结构。</w:t>
            </w:r>
          </w:p>
          <w:p>
            <w:pPr>
              <w:widowControl w:val="0"/>
              <w:spacing w:before="62" w:after="20" w:line="32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2、单站配2台电机，电机功率</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满足生产需求</w:t>
            </w:r>
            <w:r>
              <w:rPr>
                <w:rFonts w:hint="eastAsia" w:asciiTheme="minorEastAsia" w:hAnsiTheme="minorEastAsia" w:eastAsiaTheme="minorEastAsia" w:cstheme="minorEastAsia"/>
                <w:color w:val="000000" w:themeColor="text1"/>
                <w:sz w:val="24"/>
                <w:szCs w:val="24"/>
                <w14:textFill>
                  <w14:solidFill>
                    <w14:schemeClr w14:val="tx1"/>
                  </w14:solidFill>
                </w14:textFill>
              </w:rPr>
              <w:t>，参照品牌： abb/西门子/六安/皖南/大连。减速机须为进口品牌：邦飞利、罗西、西门子；主机轴端润滑需采用国内一线品牌，电动浓油泵(电动浓油泵的启动须与主机联动，且浓油泵能提前2-3s启动），推荐品牌：SKF\福鸟\维东。主机单个电机功率≥65KW，采用优化的投料时序和搅拌装置，主机不抱轴，清理频次低。</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3.主机卸料门可实现全关、半开、全开状态；具备自动、手动开门功能。</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4.每根主机轴配置轴端密封，保证不漏液。</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5.电动润滑泵可实现轴端独立自动润滑，另配置手动润滑点，集中引出，注油便捷。</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6.机盖两侧均设有大开口检视门，每个检视门都配有可靠的限位的开关，当检视门打开时，将自动切断搅拌机电源，确保进入搅拌机内人员的生命安全，设必要的手动开关按键。</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7.主机配摄像头，能直接观测到搅拌主机内部情况及混凝土塌落度情况。</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8.易损件正常条件下使用寿命：搅拌叶片不低于（5万）罐次，搅拌臂不低于（6万）罐次（搅拌臂需堆焊），衬板不低于6万罐次，轴端密封不低于10万罐次；搅拌机的其他技术性能应符合GB/T 9142的规定。</w:t>
            </w:r>
          </w:p>
        </w:tc>
        <w:tc>
          <w:tcPr>
            <w:tcW w:w="445" w:type="pct"/>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20"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11</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水泥计</w:t>
            </w:r>
          </w:p>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量系统</w:t>
            </w:r>
          </w:p>
        </w:tc>
        <w:tc>
          <w:tcPr>
            <w:tcW w:w="3413" w:type="pct"/>
            <w:shd w:val="clear" w:color="auto" w:fill="FFFFFF"/>
            <w:noWrap w:val="0"/>
            <w:vAlign w:val="center"/>
          </w:tcPr>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▲1.水泥计量斗1个，容积≥2.3m³</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2.计量斗采用3点称重，配压式传感器。</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3.计量斗配振动器，利于水泥下料。</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4.计量斗出料口需配波纹橡胶软连接、气动碟阀。</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5.传感器推荐品牌：托利多/青岛同乐/霍尼韦尔/博世；</w:t>
            </w:r>
            <w:r>
              <w:rPr>
                <w:rFonts w:hint="eastAsia" w:asciiTheme="minorEastAsia" w:hAnsiTheme="minorEastAsia" w:eastAsiaTheme="minorEastAsia" w:cstheme="minorEastAsia"/>
                <w:color w:val="000000" w:themeColor="text1"/>
                <w14:textFill>
                  <w14:solidFill>
                    <w14:schemeClr w14:val="tx1"/>
                  </w14:solidFill>
                </w14:textFill>
              </w:rPr>
              <w:t>气动元件推荐品牌：亚德客/亿日/WAM</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497"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12</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粉煤灰</w:t>
            </w:r>
          </w:p>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计量系统</w:t>
            </w:r>
          </w:p>
        </w:tc>
        <w:tc>
          <w:tcPr>
            <w:tcW w:w="3413" w:type="pct"/>
            <w:shd w:val="clear" w:color="auto" w:fill="FFFFFF"/>
            <w:noWrap w:val="0"/>
            <w:vAlign w:val="center"/>
          </w:tcPr>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 粉煤灰计量斗1个，容积≥1.2m³</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2.计量斗采用3点称重，配压式传感器。</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3.计量斗配振动器，利于粉煤灰下料。</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4.计量斗出料口需配波纹橡胶软连接、气动碟阀。</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5.传感器推荐品牌：托利多/青岛同乐/霍尼韦尔/博世；气动元件推荐品牌：亚德客/亿日/WAM</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377"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13</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矿粉计量系统</w:t>
            </w:r>
          </w:p>
        </w:tc>
        <w:tc>
          <w:tcPr>
            <w:tcW w:w="3413" w:type="pct"/>
            <w:shd w:val="clear" w:color="auto" w:fill="FFFFFF"/>
            <w:noWrap w:val="0"/>
            <w:vAlign w:val="center"/>
          </w:tcPr>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 矿粉计量斗1个，容积≥1.2m³</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2.计量斗采用3点称重，配压式传感器。</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3.计量斗配振动器，利于矿粉下料。</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4.计量斗出料口需配波纹橡胶软连接、气动碟阀。</w:t>
            </w:r>
          </w:p>
          <w:p>
            <w:pPr>
              <w:widowControl w:val="0"/>
              <w:spacing w:line="32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5.传感器推荐品牌：托利多/青岛同乐/霍尼韦尔/博世；气动元件推荐品牌：亚德客/亿日/WAM</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321"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14</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外加剂</w:t>
            </w:r>
          </w:p>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计量系统</w:t>
            </w:r>
          </w:p>
        </w:tc>
        <w:tc>
          <w:tcPr>
            <w:tcW w:w="3413" w:type="pct"/>
            <w:shd w:val="clear" w:color="auto" w:fill="FFFFFF"/>
            <w:noWrap w:val="0"/>
            <w:vAlign w:val="center"/>
          </w:tcPr>
          <w:p>
            <w:pPr>
              <w:widowControl w:val="0"/>
              <w:spacing w:line="340" w:lineRule="exact"/>
              <w:ind w:firstLine="440" w:firstLineChars="200"/>
              <w:jc w:val="left"/>
              <w:textAlignment w:val="cente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t>1.配备2个外加剂称，不锈钢材质，容积不得小于0.1m³。</w:t>
            </w:r>
          </w:p>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2.计量斗采用单点称重，配拉式传感器。。</w:t>
            </w:r>
          </w:p>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3.配备2个外加剂粗精称装置。</w:t>
            </w:r>
          </w:p>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4.传感器推荐品牌：托利多/青岛同乐/霍尼韦尔/博世</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183"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15</w:t>
            </w:r>
          </w:p>
        </w:tc>
        <w:tc>
          <w:tcPr>
            <w:tcW w:w="787" w:type="pct"/>
            <w:shd w:val="clear" w:color="auto" w:fill="auto"/>
            <w:noWrap w:val="0"/>
            <w:vAlign w:val="center"/>
          </w:tcPr>
          <w:p>
            <w:pPr>
              <w:widowControl w:val="0"/>
              <w:spacing w:line="320" w:lineRule="exact"/>
              <w:ind w:left="0" w:leftChars="0"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清水计量系统</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1.清水计量斗1个，容积≥1.2m³。</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2.计量斗采用3点称重，配压式传感器。</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3.计量斗配大小蝶阀，大蝶阀卸水和外加剂混合液，小蝶阀卸清水。</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4.配备水粗精称装置。</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2532"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待料斗</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1.主楼设置骨料暂存斗，容积≥</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m³。</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 暂存斗内部安装耐磨衬板，外部配振动电机，进料口配防尘帘。</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 暂存斗设置称重传感器，能对暂存斗内部骨料进行称重计量。根据暂存斗剩余骨料重量，关闭暂存斗门。</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4.暂存斗门采用气缸关门，在无气压状态下必须处于自锁关闭状态，防止搅拌机闷机。</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▲5.暂存斗上设置脉冲收尘机，能对斜皮带头部粉尘进行收集，除尘机面积≥30㎡，并且带风机。</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840"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主楼除</w:t>
            </w:r>
          </w:p>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尘器</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8"/>
                <w:sz w:val="24"/>
                <w:szCs w:val="24"/>
                <w14:textFill>
                  <w14:solidFill>
                    <w14:schemeClr w14:val="tx1"/>
                  </w14:solidFill>
                </w14:textFill>
              </w:rPr>
              <w:t>▲1.主楼采用脉冲反吹式除尘器，过滤面积不低于30m²，并且带风机</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2.脉冲反吹可调时间间隔。</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3.采用布袋式除尘滤芯。</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055"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卸料斗</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1.卸料斗体安装耐磨衬板。</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2.卸料斗配2个振动电机，保证成品混凝土能顺利下料。</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3.卸料斗配1个橡胶材质管套。</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4.配置节流阀存一盘料，设置检修平台。</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329"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19</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供水系统</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pacing w:val="-10"/>
                <w:sz w:val="24"/>
                <w:szCs w:val="24"/>
                <w14:textFill>
                  <w14:solidFill>
                    <w14:schemeClr w14:val="tx1"/>
                  </w14:solidFill>
                </w14:textFill>
              </w:rPr>
              <w:t>.采用立式清水供给泵，扬程≥25米，额定流量≥90m³/h。</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2.清水供水管道采用镀锌管。</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3.污水采用渣浆泵。</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4.清水供水管道采用镀锌管。</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注：清水池甲方提供。</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494"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0</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供外加</w:t>
            </w:r>
          </w:p>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剂系统</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1.外加剂罐容量≥10m³，PE材质，数量2个。</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2.外加剂供给泵采用卧式供给泵。</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3.为防止外加剂腐蚀管路，配备外加剂PPR供给管路，数量2套。</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335"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供气系统</w:t>
            </w:r>
          </w:p>
        </w:tc>
        <w:tc>
          <w:tcPr>
            <w:tcW w:w="3413" w:type="pct"/>
            <w:shd w:val="clear" w:color="auto" w:fill="FFFFFF"/>
            <w:noWrap w:val="0"/>
            <w:vAlign w:val="center"/>
          </w:tcPr>
          <w:p>
            <w:pPr>
              <w:widowControl w:val="0"/>
              <w:spacing w:before="62" w:after="20" w:line="340" w:lineRule="exact"/>
              <w:ind w:firstLine="480" w:firstLineChars="200"/>
              <w:rPr>
                <w:rFonts w:hint="eastAsia"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1、配置3套螺杆式空压机，推荐品牌：复盛/英格索兰/阿特拉斯/开山。</w:t>
            </w:r>
          </w:p>
          <w:p>
            <w:pPr>
              <w:widowControl w:val="0"/>
              <w:spacing w:before="62" w:after="20" w:line="340" w:lineRule="exact"/>
              <w:ind w:firstLine="480" w:firstLineChars="200"/>
              <w:rPr>
                <w:rFonts w:hint="eastAsia"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2、空压机最大供气量≥2.8m³/min，功率≥22kW，应配冷干机及前置过滤器等。空压机推荐品牌：复盛/开山/捷豹/英格索兰。</w:t>
            </w:r>
          </w:p>
          <w:p>
            <w:pPr>
              <w:widowControl w:val="0"/>
              <w:spacing w:before="62" w:after="20" w:line="340" w:lineRule="exact"/>
              <w:ind w:firstLine="480" w:firstLineChars="200"/>
              <w:rPr>
                <w:rFonts w:hint="eastAsia"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3、储气罐等气路系统应配备油水分离器及油雾器。</w:t>
            </w:r>
          </w:p>
          <w:p>
            <w:pPr>
              <w:widowControl w:val="0"/>
              <w:spacing w:before="62" w:after="20" w:line="340" w:lineRule="exact"/>
              <w:ind w:firstLine="480" w:firstLineChars="200"/>
              <w:rPr>
                <w:rFonts w:hint="eastAsia" w:asciiTheme="minorEastAsia" w:hAnsiTheme="minorEastAsia" w:eastAsiaTheme="minorEastAsia" w:cstheme="minorEastAsia"/>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4、单套生产线应配备储气罐不少于3个，容积≥1000L，供配料站、主楼和气槽使用。储气罐应设置安全阀，符合GB150的规定。</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Cs/>
                <w:color w:val="000000" w:themeColor="text1"/>
                <w:sz w:val="24"/>
                <w:szCs w:val="24"/>
                <w14:textFill>
                  <w14:solidFill>
                    <w14:schemeClr w14:val="tx1"/>
                  </w14:solidFill>
                </w14:textFill>
              </w:rPr>
              <w:t>5、应配置电磁阀、空气过滤器、空气过滤减压、三联件及气路管路。气动元件推荐品牌：亚德客、费斯托</w:t>
            </w:r>
            <w:r>
              <w:rPr>
                <w:rFonts w:hint="eastAsia" w:asciiTheme="minorEastAsia" w:hAnsiTheme="minorEastAsia" w:eastAsiaTheme="minorEastAsia" w:cstheme="minorEastAsia"/>
                <w:color w:val="000000" w:themeColor="text1"/>
                <w:sz w:val="24"/>
                <w:szCs w:val="24"/>
                <w14:textFill>
                  <w14:solidFill>
                    <w14:schemeClr w14:val="tx1"/>
                  </w14:solidFill>
                </w14:textFill>
              </w:rPr>
              <w:t>/亿日。</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6、主储气罐为立式储气罐，含压力安全阀及压力表。</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7、在气路最低点，配置自动排水阀，管路采用PPR管路。</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176"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电控系统</w:t>
            </w:r>
          </w:p>
        </w:tc>
        <w:tc>
          <w:tcPr>
            <w:tcW w:w="3413" w:type="pct"/>
            <w:shd w:val="clear" w:color="auto" w:fill="FFFFFF"/>
            <w:noWrap w:val="0"/>
            <w:vAlign w:val="center"/>
          </w:tcPr>
          <w:p>
            <w:pPr>
              <w:widowControl w:val="0"/>
              <w:spacing w:before="62" w:after="20" w:line="34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主要电器元件为西门子、ABB、施耐德、欧姆龙等世界品牌；应适合于工业环境的电子设备(包括工业计算机、相关的输人/输出设备及净化电源等)；各种大型储料仓(水泥、掺合料等)所设置的料位计，其安装位置应便于维修、安全可靠；料位计与物料接触部分应耐磨和有防冲击的性能。如遇电脑故障时：主、辅机可实现切换，保证生产能正常进行。带有开机声光报警提高安全性（搅拌主机、配料站）。</w:t>
            </w:r>
          </w:p>
          <w:p>
            <w:pPr>
              <w:widowControl w:val="0"/>
              <w:spacing w:before="62" w:after="20" w:line="34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2.软件管理系统，实现对进料、配料、卸料和出砼全过程的自动控制，并有全自动、手动两种控制方式；手动生产应有详细的生产记录,以供随时统计；应具有库存管理功能、生产记录、材料消耗统计查询功能。   </w:t>
            </w:r>
          </w:p>
          <w:p>
            <w:pPr>
              <w:widowControl w:val="0"/>
              <w:spacing w:before="62" w:after="20" w:line="340" w:lineRule="exac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在用计算机自动控制配料时，应能按设定的程序启、停。当任一供料单元缺料或无料时，应能予以提示。</w:t>
            </w:r>
          </w:p>
          <w:p>
            <w:pPr>
              <w:widowControl w:val="0"/>
              <w:spacing w:before="62" w:after="20" w:line="340" w:lineRule="exact"/>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生产过程中动态显示设定值、称量值、称量误差及该配方的需用量、已生产量、用户名称、工程部位、强度等级、配比校验、砼强度校验功能。称量提前量动态自动修正，有手动和自动称量误差补偿功能；计量装置应具有给定的多种配比，并应具有随时进行修正物料称量值和配比的功能。</w:t>
            </w:r>
          </w:p>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4.电控柜设置急停装置。</w:t>
            </w:r>
          </w:p>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配1套控制软件，软件满足生产操作功能(包含生产参数设定与调整，运行提示、运行日志记录功能等)、生产管理功能（包含生产任务管理、配方管理以及基于单机的生产调度、车辆管理、客户管理、物料管理、用户与权限管理等基础功能，支持设备自动生产与基本业务流程等）、智能维保功能（基于生产流程的实时故障提醒，智能生产效率分析，智能配料精度分析等）。</w:t>
            </w:r>
          </w:p>
          <w:p>
            <w:pPr>
              <w:widowControl w:val="0"/>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6.控制系统对骨料进行计量时能自动进行参数调整，无需反复设置骨料下料参数。</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7.配置塌落度观测系统。</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8.具备气压在线检测功能。</w:t>
            </w:r>
          </w:p>
          <w:p>
            <w:pPr>
              <w:pStyle w:val="13"/>
              <w:widowControl w:val="0"/>
              <w:spacing w:line="340" w:lineRule="exact"/>
              <w:ind w:left="0" w:leftChars="0" w:firstLine="480"/>
              <w:rPr>
                <w:rFonts w:hint="eastAsia" w:asciiTheme="minorEastAsia" w:hAnsiTheme="minorEastAsia" w:eastAsiaTheme="minorEastAsia" w:cstheme="minorEastAsia"/>
                <w:color w:val="000000" w:themeColor="text1"/>
                <w:kern w:val="2"/>
                <w14:textFill>
                  <w14:solidFill>
                    <w14:schemeClr w14:val="tx1"/>
                  </w14:solidFill>
                </w14:textFill>
              </w:rPr>
            </w:pPr>
            <w:r>
              <w:rPr>
                <w:rFonts w:hint="eastAsia" w:asciiTheme="minorEastAsia" w:hAnsiTheme="minorEastAsia" w:eastAsiaTheme="minorEastAsia" w:cstheme="minorEastAsia"/>
                <w:color w:val="000000" w:themeColor="text1"/>
                <w:kern w:val="2"/>
                <w14:textFill>
                  <w14:solidFill>
                    <w14:schemeClr w14:val="tx1"/>
                  </w14:solidFill>
                </w14:textFill>
              </w:rPr>
              <w:t>9.配置工控机2台/套。推荐品牌：严华/严祥/惠普/联想及其他国内一线品牌。</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1176"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监控系统</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1.配套1个监控显示器，尺寸≥27寸。</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2.配3点监控(主机盖、斜皮带尾部、卸料口)。</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3.配1套监控软件。</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4.显示器推荐品牌：飞利浦/戴尔/联想</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791"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粉罐</w:t>
            </w:r>
          </w:p>
        </w:tc>
        <w:tc>
          <w:tcPr>
            <w:tcW w:w="3413" w:type="pct"/>
            <w:shd w:val="clear" w:color="auto" w:fill="FFFFFF"/>
            <w:noWrap w:val="0"/>
            <w:vAlign w:val="center"/>
          </w:tcPr>
          <w:p>
            <w:pPr>
              <w:widowControl w:val="0"/>
              <w:numPr>
                <w:ilvl w:val="0"/>
                <w:numId w:val="2"/>
              </w:numPr>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整机采用4个</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00吨粉罐</w:t>
            </w:r>
          </w:p>
          <w:p>
            <w:pPr>
              <w:widowControl w:val="0"/>
              <w:numPr>
                <w:ilvl w:val="0"/>
                <w:numId w:val="0"/>
              </w:numPr>
              <w:spacing w:line="340" w:lineRule="exact"/>
              <w:ind w:firstLine="480" w:firstLineChars="20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▲2.粉罐配置除尘器、料位计、安全阀、蝶阀、破拱、智能料位计（称重显示）等。</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3.每个粉罐配脉冲反吹式除尘器，过滤面积≥22㎡。</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4.粉罐配置走台梯，确保人员能从地面到达粉罐顶部，及检修上下料位计。</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791"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粉料输</w:t>
            </w:r>
          </w:p>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送机</w:t>
            </w:r>
          </w:p>
        </w:tc>
        <w:tc>
          <w:tcPr>
            <w:tcW w:w="3413"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▲1.粉料均采用子母螺旋输送机输送，螺旋机直径不低于273mm。</w:t>
            </w:r>
          </w:p>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螺旋机推荐品牌：WAM/SICOMA /米科思</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7" w:type="dxa"/>
            <w:bottom w:w="57" w:type="dxa"/>
            <w:right w:w="17" w:type="dxa"/>
          </w:tblCellMar>
        </w:tblPrEx>
        <w:trPr>
          <w:trHeight w:val="791" w:hRule="atLeast"/>
          <w:jc w:val="center"/>
        </w:trPr>
        <w:tc>
          <w:tcPr>
            <w:tcW w:w="353"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w:t>
            </w:r>
          </w:p>
        </w:tc>
        <w:tc>
          <w:tcPr>
            <w:tcW w:w="787" w:type="pct"/>
            <w:shd w:val="clear" w:color="auto" w:fill="auto"/>
            <w:noWrap w:val="0"/>
            <w:vAlign w:val="center"/>
          </w:tcPr>
          <w:p>
            <w:pPr>
              <w:widowControl w:val="0"/>
              <w:spacing w:line="320" w:lineRule="exact"/>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中控室UPS</w:t>
            </w:r>
          </w:p>
        </w:tc>
        <w:tc>
          <w:tcPr>
            <w:tcW w:w="3413" w:type="pct"/>
            <w:shd w:val="clear" w:color="auto" w:fill="FFFFFF"/>
            <w:noWrap w:val="0"/>
            <w:vAlign w:val="center"/>
          </w:tcPr>
          <w:p>
            <w:pPr>
              <w:widowControl w:val="0"/>
              <w:spacing w:line="320" w:lineRule="exact"/>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额定容量5KVA，效率不低于82%。推荐品牌：山特、台达、华为。</w:t>
            </w:r>
          </w:p>
        </w:tc>
        <w:tc>
          <w:tcPr>
            <w:tcW w:w="445" w:type="pct"/>
            <w:shd w:val="clear" w:color="auto" w:fill="FFFFFF"/>
            <w:noWrap w:val="0"/>
            <w:vAlign w:val="center"/>
          </w:tcPr>
          <w:p>
            <w:pPr>
              <w:widowControl w:val="0"/>
              <w:spacing w:line="340" w:lineRule="exact"/>
              <w:ind w:firstLine="480"/>
              <w:jc w:val="left"/>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bl>
    <w:p>
      <w:pPr>
        <w:widowControl w:val="0"/>
        <w:rPr>
          <w:rFonts w:hint="eastAsia" w:asciiTheme="minorEastAsia" w:hAnsiTheme="minorEastAsia" w:eastAsiaTheme="minorEastAsia" w:cstheme="minorEastAsia"/>
          <w:color w:val="000000" w:themeColor="text1"/>
          <w:sz w:val="20"/>
          <w14:textFill>
            <w14:solidFill>
              <w14:schemeClr w14:val="tx1"/>
            </w14:solidFill>
          </w14:textFill>
        </w:rPr>
      </w:pPr>
    </w:p>
    <w:p>
      <w:pPr>
        <w:pStyle w:val="38"/>
        <w:spacing w:line="500" w:lineRule="exact"/>
        <w:ind w:firstLine="400" w:firstLineChars="200"/>
        <w:jc w:val="left"/>
        <w:outlineLvl w:val="1"/>
        <w:rPr>
          <w:rFonts w:hint="eastAsia" w:ascii="宋体" w:hAnsi="宋体" w:eastAsia="宋体" w:cs="宋体"/>
          <w:b/>
          <w:color w:val="000000" w:themeColor="text1"/>
          <w:sz w:val="24"/>
          <w14:textFill>
            <w14:solidFill>
              <w14:schemeClr w14:val="tx1"/>
            </w14:solidFill>
          </w14:textFill>
        </w:rPr>
      </w:pPr>
      <w:bookmarkStart w:id="62" w:name="EB5abde113b5d146a9bbd036621a9de148"/>
      <w:r>
        <w:rPr>
          <w:rFonts w:hint="eastAsia" w:ascii="宋体" w:hAnsi="宋体" w:eastAsia="宋体" w:cs="宋体"/>
          <w:color w:val="000000" w:themeColor="text1"/>
          <w:sz w:val="20"/>
          <w14:textFill>
            <w14:solidFill>
              <w14:schemeClr w14:val="tx1"/>
            </w14:solidFill>
          </w14:textFill>
        </w:rPr>
        <w:t xml:space="preserve"> </w:t>
      </w:r>
      <w:bookmarkEnd w:id="62"/>
      <w:r>
        <w:rPr>
          <w:rFonts w:hint="eastAsia" w:ascii="宋体" w:hAnsi="宋体" w:eastAsia="宋体" w:cs="宋体"/>
          <w:b/>
          <w:color w:val="000000" w:themeColor="text1"/>
          <w:sz w:val="24"/>
          <w14:textFill>
            <w14:solidFill>
              <w14:schemeClr w14:val="tx1"/>
            </w14:solidFill>
          </w14:textFill>
        </w:rPr>
        <w:t>三、供货及安装服务要求</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1、安装时，所产生的垃圾应随时清理出场，保持场地干净。</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2、在安装过程中，对原有装修产生碰损，供应商应全部包赔。</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3、供应商责任</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①供货前，供应商应提供设备产品的规格、外形等供采购人确认，否则造成的损失由供应商自行承担。产品必须是正规厂家新品，不得以次充好。供应商根据自身生产情况列出需外购产品清单。</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②供应商负责设备的包装、保险、运输至业主指定的交货地点。零散及易损件须用木箱包装，确保防盗、防震、防潮、防破损、运输方式确定，并且由于运输造成的设备损坏，丢失均由供应商负责处理。</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③供应商负责</w:t>
      </w:r>
      <w:r>
        <w:rPr>
          <w:rFonts w:hint="eastAsia" w:ascii="宋体" w:hAnsi="宋体" w:cs="宋体"/>
          <w:color w:val="000000" w:themeColor="text1"/>
          <w:sz w:val="24"/>
          <w:lang w:val="en-US" w:eastAsia="zh-CN"/>
          <w14:textFill>
            <w14:solidFill>
              <w14:schemeClr w14:val="tx1"/>
            </w14:solidFill>
          </w14:textFill>
        </w:rPr>
        <w:t>派员指挥</w:t>
      </w:r>
      <w:r>
        <w:rPr>
          <w:rFonts w:hint="eastAsia" w:ascii="宋体" w:hAnsi="宋体" w:eastAsia="宋体" w:cs="宋体"/>
          <w:color w:val="000000" w:themeColor="text1"/>
          <w:sz w:val="24"/>
          <w14:textFill>
            <w14:solidFill>
              <w14:schemeClr w14:val="tx1"/>
            </w14:solidFill>
          </w14:textFill>
        </w:rPr>
        <w:t>设备卸车、就位、组装、调试等工作。</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④供应商保证交给采购人设备的完好性。</w:t>
      </w:r>
    </w:p>
    <w:p>
      <w:pPr>
        <w:pStyle w:val="38"/>
        <w:spacing w:line="500" w:lineRule="exact"/>
        <w:ind w:firstLine="480" w:firstLineChars="200"/>
        <w:jc w:val="left"/>
        <w:outlineLvl w:val="1"/>
        <w:rPr>
          <w:rFonts w:hint="eastAsia"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四、售后服务要求</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1、供应商对所售出的产品实行三包：三包期限为</w:t>
      </w:r>
      <w:r>
        <w:rPr>
          <w:rFonts w:hint="eastAsia" w:ascii="宋体" w:hAnsi="宋体" w:cs="宋体"/>
          <w:color w:val="000000" w:themeColor="text1"/>
          <w:sz w:val="24"/>
          <w:u w:val="single"/>
          <w:lang w:val="en-US" w:eastAsia="zh-CN"/>
          <w14:textFill>
            <w14:solidFill>
              <w14:schemeClr w14:val="tx1"/>
            </w14:solidFill>
          </w14:textFill>
        </w:rPr>
        <w:t>2</w:t>
      </w:r>
      <w:r>
        <w:rPr>
          <w:rFonts w:hint="eastAsia" w:ascii="宋体" w:hAnsi="宋体" w:eastAsia="宋体" w:cs="宋体"/>
          <w:color w:val="000000" w:themeColor="text1"/>
          <w:sz w:val="24"/>
          <w:u w:val="single"/>
          <w14:textFill>
            <w14:solidFill>
              <w14:schemeClr w14:val="tx1"/>
            </w14:solidFill>
          </w14:textFill>
        </w:rPr>
        <w:t>年</w:t>
      </w:r>
      <w:r>
        <w:rPr>
          <w:rFonts w:hint="eastAsia" w:ascii="宋体" w:hAnsi="宋体" w:eastAsia="宋体" w:cs="宋体"/>
          <w:color w:val="000000" w:themeColor="text1"/>
          <w:sz w:val="24"/>
          <w14:textFill>
            <w14:solidFill>
              <w14:schemeClr w14:val="tx1"/>
            </w14:solidFill>
          </w14:textFill>
        </w:rPr>
        <w:t>，即产品在正常使用情况下发生质量问题时，供应商应按采购人的要求，负责对产品实行包修、包换、包退。</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2、供应商确保对采购人提出的保修等质量信息提出的问题，做到20分钟内电话响应。</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3、供应商确保对采购人提出的保修等质量信息提出的问题，做到及时响应，服务到位，组织维修和专业服务队伍到达现场，对产品进行保修服务，所产生的风险和费用由供应商承担。</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4、供应商除提供所供全部设备的安装调试服务外，还须有完善的培训服务体系，保证使用方能掌握设备的正常使用及日常维护工作。</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5、质保期：</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eastAsia="宋体" w:cs="宋体"/>
          <w:color w:val="000000" w:themeColor="text1"/>
          <w:sz w:val="24"/>
          <w14:textFill>
            <w14:solidFill>
              <w14:schemeClr w14:val="tx1"/>
            </w14:solidFill>
          </w14:textFill>
        </w:rPr>
        <w:t>年（自验收合格之日起计算），超过三包期限，但在质保期内的，供应商应对采购人提出的维修、维保等要求，做到及时电话响应，服务到位。</w:t>
      </w:r>
    </w:p>
    <w:p>
      <w:pPr>
        <w:pStyle w:val="38"/>
        <w:spacing w:line="500" w:lineRule="exact"/>
        <w:ind w:firstLine="480" w:firstLineChars="200"/>
        <w:jc w:val="left"/>
        <w:outlineLvl w:val="1"/>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五、验收</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在发货前，供应商应对设备的质量、规格、性能、数量或重量等进行准确而全面的检验，并出具一份证明设备符合合同规定的证书。该证书将作为提交付款单据的一部分，但有关质量、规格、性能、数量或重量的检验不应视为最终检验。检验的结果和细节应附在检验证书后面。</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2、设备交付后，在安装前应仔细检查设备自身无缺陷后方可安装，如果存在设备破损、自身材质、规格等质量缺陷，采购人有权要求将设备退场，由此引起的一切后果由供应商承担。</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设备进场后供应商继续负责对设备的看管工作，如因看管不善所造成的一切损失均由供应商承担；设备进场后供应商应准备好相关初步验收资料，验收内容包括：产地、货号、规格、数量、外观质量、及设备包装是否完好。采购人应按签订采购合同约定时间组织验收，并出具书面初步验收报告。</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4、供应商设备全部进场安装调试，并提供相关初步验收资料后 3 日内，采购人组织验收并出具验收报告。如果</w:t>
      </w:r>
      <w:r>
        <w:rPr>
          <w:rFonts w:hint="eastAsia" w:ascii="宋体" w:hAnsi="宋体" w:cs="宋体"/>
          <w:color w:val="000000" w:themeColor="text1"/>
          <w:sz w:val="24"/>
          <w:lang w:val="en-US" w:eastAsia="zh-CN"/>
          <w14:textFill>
            <w14:solidFill>
              <w14:schemeClr w14:val="tx1"/>
            </w14:solidFill>
          </w14:textFill>
        </w:rPr>
        <w:t>所供</w:t>
      </w:r>
      <w:r>
        <w:rPr>
          <w:rFonts w:hint="eastAsia" w:ascii="宋体" w:hAnsi="宋体" w:eastAsia="宋体" w:cs="宋体"/>
          <w:color w:val="000000" w:themeColor="text1"/>
          <w:sz w:val="24"/>
          <w14:textFill>
            <w14:solidFill>
              <w14:schemeClr w14:val="tx1"/>
            </w14:solidFill>
          </w14:textFill>
        </w:rPr>
        <w:t>设备的质量、规格与合同规定不符，或在质量保证期内发现设备是有缺陷的（包括潜在缺陷或使用不符合要求的材料），采购人应报请法定检验机构进行检测（检测费由供应商承担），有权凭其出具的检验报告向供应商提出索赔。</w:t>
      </w:r>
    </w:p>
    <w:p>
      <w:pPr>
        <w:pStyle w:val="38"/>
        <w:spacing w:line="500" w:lineRule="exact"/>
        <w:ind w:firstLine="480" w:firstLineChars="200"/>
        <w:jc w:val="left"/>
        <w:outlineLvl w:val="1"/>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六、整体项目实施要求</w:t>
      </w:r>
    </w:p>
    <w:p>
      <w:pPr>
        <w:pStyle w:val="38"/>
        <w:spacing w:line="500" w:lineRule="exact"/>
        <w:ind w:firstLine="480" w:firstLineChars="200"/>
        <w:jc w:val="left"/>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供应商应在投标文件中详细描述实施的组织和实施办法，包括实施过程中的质量、进度安排和现场管理及安装等，与用户沟通的体制和办法，验收方案、售后服务等内容。</w:t>
      </w:r>
    </w:p>
    <w:p>
      <w:pPr>
        <w:keepNext w:val="0"/>
        <w:keepLines w:val="0"/>
        <w:pageBreakBefore w:val="0"/>
        <w:widowControl/>
        <w:jc w:val="left"/>
        <w:outlineLvl w:val="9"/>
        <w:rPr>
          <w:rFonts w:hint="eastAsia" w:asciiTheme="minorEastAsia" w:hAnsiTheme="minorEastAsia" w:eastAsiaTheme="minorEastAsia" w:cstheme="minorEastAsia"/>
          <w:b/>
          <w:color w:val="000000" w:themeColor="text1"/>
          <w:sz w:val="44"/>
          <w:szCs w:val="44"/>
          <w14:textFill>
            <w14:solidFill>
              <w14:schemeClr w14:val="tx1"/>
            </w14:solidFill>
          </w14:textFill>
        </w:rPr>
      </w:pPr>
      <w:bookmarkStart w:id="63" w:name="_Toc256000015"/>
      <w:bookmarkStart w:id="64" w:name="_Toc63151906"/>
      <w:r>
        <w:rPr>
          <w:rFonts w:hint="eastAsia" w:asciiTheme="minorEastAsia" w:hAnsiTheme="minorEastAsia" w:eastAsiaTheme="minorEastAsia" w:cstheme="minorEastAsia"/>
          <w:b/>
          <w:color w:val="000000" w:themeColor="text1"/>
          <w:sz w:val="44"/>
          <w:szCs w:val="44"/>
          <w14:textFill>
            <w14:solidFill>
              <w14:schemeClr w14:val="tx1"/>
            </w14:solidFill>
          </w14:textFill>
        </w:rPr>
        <w:br w:type="page"/>
      </w:r>
    </w:p>
    <w:p>
      <w:pPr>
        <w:keepNext/>
        <w:keepLines/>
        <w:pageBreakBefore w:val="0"/>
        <w:widowControl w:val="0"/>
        <w:ind w:firstLine="0" w:firstLineChars="0"/>
        <w:jc w:val="center"/>
        <w:outlineLvl w:val="0"/>
        <w:rPr>
          <w:rFonts w:hint="eastAsia" w:asciiTheme="minorEastAsia" w:hAnsiTheme="minorEastAsia" w:eastAsiaTheme="minorEastAsia" w:cstheme="minorEastAsia"/>
          <w:b/>
          <w:color w:val="000000" w:themeColor="text1"/>
          <w:sz w:val="44"/>
          <w:szCs w:val="44"/>
          <w14:textFill>
            <w14:solidFill>
              <w14:schemeClr w14:val="tx1"/>
            </w14:solidFill>
          </w14:textFill>
        </w:rPr>
      </w:pPr>
      <w:r>
        <w:rPr>
          <w:rFonts w:hint="eastAsia" w:asciiTheme="minorEastAsia" w:hAnsiTheme="minorEastAsia" w:eastAsiaTheme="minorEastAsia" w:cstheme="minorEastAsia"/>
          <w:b/>
          <w:color w:val="000000" w:themeColor="text1"/>
          <w:sz w:val="44"/>
          <w:szCs w:val="44"/>
          <w14:textFill>
            <w14:solidFill>
              <w14:schemeClr w14:val="tx1"/>
            </w14:solidFill>
          </w14:textFill>
        </w:rPr>
        <w:t>第五部分  合同格式及条款</w:t>
      </w:r>
      <w:bookmarkEnd w:id="63"/>
      <w:bookmarkEnd w:id="64"/>
    </w:p>
    <w:p>
      <w:pPr>
        <w:widowControl w:val="0"/>
        <w:rPr>
          <w:rFonts w:hint="eastAsia" w:asciiTheme="minorEastAsia" w:hAnsiTheme="minorEastAsia" w:eastAsiaTheme="minorEastAsia" w:cstheme="minorEastAsia"/>
          <w:color w:val="000000" w:themeColor="text1"/>
          <w14:textFill>
            <w14:solidFill>
              <w14:schemeClr w14:val="tx1"/>
            </w14:solidFill>
          </w14:textFill>
        </w:rPr>
      </w:pPr>
      <w:bookmarkStart w:id="65" w:name="EB92fb24a891e34ea29920d90c75406592"/>
    </w:p>
    <w:bookmarkEnd w:id="65"/>
    <w:p>
      <w:pPr>
        <w:widowControl w:val="0"/>
        <w:spacing w:line="360" w:lineRule="auto"/>
        <w:ind w:firstLine="0" w:firstLineChars="0"/>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bookmarkStart w:id="66" w:name="_Toc477287606"/>
      <w:bookmarkStart w:id="67" w:name="EB6741ddf28fc94cd0bc9ee20994bf1de5"/>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采购合同</w:t>
      </w:r>
    </w:p>
    <w:p>
      <w:pPr>
        <w:widowControl w:val="0"/>
        <w:spacing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widowControl w:val="0"/>
        <w:spacing w:line="360" w:lineRule="auto"/>
        <w:jc w:val="center"/>
        <w:rPr>
          <w:rFonts w:hint="eastAsia" w:asciiTheme="minorEastAsia" w:hAnsiTheme="minorEastAsia" w:eastAsiaTheme="minorEastAsia" w:cstheme="minorEastAsia"/>
          <w:b/>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val="0"/>
          <w:color w:val="000000" w:themeColor="text1"/>
          <w:sz w:val="24"/>
          <w:szCs w:val="24"/>
          <w14:textFill>
            <w14:solidFill>
              <w14:schemeClr w14:val="tx1"/>
            </w14:solidFill>
          </w14:textFill>
        </w:rPr>
        <w:t xml:space="preserve"> 第一部分  专用条款</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采购单位（全称）：</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江苏省水利建设工程有限公司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（简称甲方）</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供货单位</w:t>
      </w:r>
      <w:r>
        <w:rPr>
          <w:rFonts w:hint="eastAsia" w:asciiTheme="minorEastAsia" w:hAnsiTheme="minorEastAsia" w:eastAsiaTheme="minorEastAsia" w:cstheme="minorEastAsia"/>
          <w:color w:val="000000" w:themeColor="text1"/>
          <w:sz w:val="24"/>
          <w:szCs w:val="24"/>
          <w14:textFill>
            <w14:solidFill>
              <w14:schemeClr w14:val="tx1"/>
            </w14:solidFill>
          </w14:textFill>
        </w:rPr>
        <w:t>（全称）：</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（简称乙方）</w:t>
      </w:r>
    </w:p>
    <w:p>
      <w:pPr>
        <w:widowControl w:val="0"/>
        <w:snapToGrid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widowControl w:val="0"/>
        <w:snapToGrid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甲</w:t>
      </w:r>
      <w:r>
        <w:rPr>
          <w:rFonts w:hint="eastAsia" w:asciiTheme="minorEastAsia" w:hAnsiTheme="minorEastAsia" w:eastAsiaTheme="minorEastAsia" w:cstheme="minorEastAsia"/>
          <w:color w:val="000000" w:themeColor="text1"/>
          <w:sz w:val="24"/>
          <w:szCs w:val="24"/>
          <w14:textFill>
            <w14:solidFill>
              <w14:schemeClr w14:val="tx1"/>
            </w14:solidFill>
          </w14:textFill>
        </w:rPr>
        <w:t>乙</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双方在</w:t>
      </w:r>
      <w:r>
        <w:rPr>
          <w:rFonts w:hint="eastAsia" w:asciiTheme="minorEastAsia" w:hAnsiTheme="minorEastAsia" w:eastAsiaTheme="minorEastAsia" w:cstheme="minorEastAsia"/>
          <w:color w:val="000000" w:themeColor="text1"/>
          <w:sz w:val="24"/>
          <w:szCs w:val="24"/>
          <w14:textFill>
            <w14:solidFill>
              <w14:schemeClr w14:val="tx1"/>
            </w14:solidFill>
          </w14:textFill>
        </w:rPr>
        <w:t>平等、自愿、公平和诚实信用的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基础上</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根据</w:t>
      </w:r>
      <w:r>
        <w:rPr>
          <w:rFonts w:hint="eastAsia" w:asciiTheme="minorEastAsia" w:hAnsiTheme="minorEastAsia" w:eastAsiaTheme="minorEastAsia" w:cstheme="minorEastAsia"/>
          <w:color w:val="000000" w:themeColor="text1"/>
          <w:sz w:val="24"/>
          <w:szCs w:val="24"/>
          <w14:textFill>
            <w14:solidFill>
              <w14:schemeClr w14:val="tx1"/>
            </w14:solidFill>
          </w14:textFill>
        </w:rPr>
        <w:t>《中华人民共和国民法典》及有关法律法规，双方就</w:t>
      </w:r>
      <w:r>
        <w:rPr>
          <w:rFonts w:hint="eastAsia" w:asciiTheme="minorEastAsia" w:hAnsiTheme="minorEastAsia" w:eastAsiaTheme="minorEastAsia" w:cstheme="minorEastAsia"/>
          <w:color w:val="000000" w:themeColor="text1"/>
          <w:sz w:val="24"/>
          <w14:textFill>
            <w14:solidFill>
              <w14:schemeClr w14:val="tx1"/>
            </w14:solidFill>
          </w14:textFill>
        </w:rPr>
        <w:t>本次采购</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的</w:t>
      </w:r>
      <w:r>
        <w:rPr>
          <w:rFonts w:hint="eastAsia" w:asciiTheme="minorEastAsia" w:hAnsiTheme="minorEastAsia" w:eastAsiaTheme="minorEastAsia" w:cstheme="minorEastAsia"/>
          <w:color w:val="000000" w:themeColor="text1"/>
          <w:sz w:val="24"/>
          <w14:textFill>
            <w14:solidFill>
              <w14:schemeClr w14:val="tx1"/>
            </w14:solidFill>
          </w14:textFill>
        </w:rPr>
        <w:t>新型商品混凝土绿色建材生产设备，包括</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180</w:t>
      </w:r>
      <w:r>
        <w:rPr>
          <w:rFonts w:hint="eastAsia" w:asciiTheme="minorEastAsia" w:hAnsiTheme="minorEastAsia" w:eastAsiaTheme="minorEastAsia" w:cstheme="minorEastAsia"/>
          <w:color w:val="000000" w:themeColor="text1"/>
          <w:sz w:val="24"/>
          <w:u w:val="single"/>
          <w14:textFill>
            <w14:solidFill>
              <w14:schemeClr w14:val="tx1"/>
            </w14:solidFill>
          </w14:textFill>
        </w:rPr>
        <w:t>混凝土搅拌站</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2台套、</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1辆≥</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56</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米四桥混凝土泵车，1辆≥49米三桥混凝土泵车</w:t>
      </w:r>
      <w:r>
        <w:rPr>
          <w:rFonts w:hint="eastAsia" w:asciiTheme="minorEastAsia" w:hAnsiTheme="minorEastAsia" w:eastAsiaTheme="minorEastAsia" w:cstheme="minorEastAsia"/>
          <w:color w:val="000000" w:themeColor="text1"/>
          <w:kern w:val="0"/>
          <w:sz w:val="24"/>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u w:val="single"/>
          <w14:textFill>
            <w14:solidFill>
              <w14:schemeClr w14:val="tx1"/>
            </w14:solidFill>
          </w14:textFill>
        </w:rPr>
        <w:t>10辆四桥10方混凝土法规搅拌车</w:t>
      </w:r>
      <w:r>
        <w:rPr>
          <w:rFonts w:hint="eastAsia" w:asciiTheme="minorEastAsia" w:hAnsiTheme="minorEastAsia" w:eastAsiaTheme="minorEastAsia" w:cstheme="minorEastAsia"/>
          <w:color w:val="000000" w:themeColor="text1"/>
          <w:kern w:val="0"/>
          <w:sz w:val="24"/>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0"/>
          <w:sz w:val="24"/>
          <w:u w:val="single"/>
          <w:lang w:val="en-US" w:eastAsia="zh-CN"/>
          <w14:textFill>
            <w14:solidFill>
              <w14:schemeClr w14:val="tx1"/>
            </w14:solidFill>
          </w14:textFill>
        </w:rPr>
        <w:t>2台5T装载机等设备采购</w:t>
      </w:r>
      <w:r>
        <w:rPr>
          <w:rFonts w:hint="eastAsia" w:asciiTheme="minorEastAsia" w:hAnsiTheme="minorEastAsia" w:eastAsiaTheme="minorEastAsia" w:cstheme="minorEastAsia"/>
          <w:bCs/>
          <w:color w:val="000000" w:themeColor="text1"/>
          <w:sz w:val="24"/>
          <w:szCs w:val="24"/>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14:textFill>
            <w14:solidFill>
              <w14:schemeClr w14:val="tx1"/>
            </w14:solidFill>
          </w14:textFill>
        </w:rPr>
        <w:t>事项协商一致，达成如下合同条款</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供双方共同遵守</w:t>
      </w:r>
      <w:r>
        <w:rPr>
          <w:rFonts w:hint="eastAsia" w:ascii="宋体" w:hAnsi="宋体" w:cs="宋体"/>
          <w:color w:val="000000" w:themeColor="text1"/>
          <w:kern w:val="0"/>
          <w:szCs w:val="21"/>
          <w:lang w:eastAsia="zh-CN"/>
          <w14:textFill>
            <w14:solidFill>
              <w14:schemeClr w14:val="tx1"/>
            </w14:solidFill>
          </w14:textFill>
        </w:rPr>
        <w:t>。</w:t>
      </w:r>
    </w:p>
    <w:p>
      <w:pPr>
        <w:widowControl w:val="0"/>
        <w:numPr>
          <w:ilvl w:val="0"/>
          <w:numId w:val="3"/>
        </w:numPr>
        <w:snapToGrid w:val="0"/>
        <w:spacing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乙方向甲方提供总价值（含税价）为</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 xml:space="preserve">   （￥    元）</w:t>
      </w:r>
      <w:r>
        <w:rPr>
          <w:rFonts w:hint="eastAsia" w:asciiTheme="minorEastAsia" w:hAnsiTheme="minorEastAsia" w:eastAsiaTheme="minorEastAsia" w:cstheme="minorEastAsia"/>
          <w:b/>
          <w:color w:val="000000" w:themeColor="text1"/>
          <w:sz w:val="24"/>
          <w:szCs w:val="24"/>
          <w14:textFill>
            <w14:solidFill>
              <w14:schemeClr w14:val="tx1"/>
            </w14:solidFill>
          </w14:textFill>
        </w:rPr>
        <w:t>的标的物</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widowControl w:val="0"/>
        <w:snapToGrid w:val="0"/>
        <w:spacing w:before="157" w:beforeLines="50" w:line="360" w:lineRule="auto"/>
        <w:ind w:firstLine="3000" w:firstLineChars="125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主要标的物清单（详细列明）</w:t>
      </w:r>
    </w:p>
    <w:tbl>
      <w:tblPr>
        <w:tblStyle w:val="14"/>
        <w:tblW w:w="8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3021"/>
        <w:gridCol w:w="871"/>
        <w:gridCol w:w="1021"/>
        <w:gridCol w:w="1436"/>
        <w:gridCol w:w="14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29" w:type="dxa"/>
            <w:noWrap w:val="0"/>
            <w:vAlign w:val="top"/>
          </w:tcPr>
          <w:p>
            <w:pPr>
              <w:widowControl w:val="0"/>
              <w:snapToGrid w:val="0"/>
              <w:spacing w:before="160" w:line="360" w:lineRule="auto"/>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序号</w:t>
            </w:r>
          </w:p>
        </w:tc>
        <w:tc>
          <w:tcPr>
            <w:tcW w:w="3021" w:type="dxa"/>
            <w:noWrap w:val="0"/>
            <w:vAlign w:val="top"/>
          </w:tcPr>
          <w:p>
            <w:pPr>
              <w:widowControl w:val="0"/>
              <w:snapToGrid w:val="0"/>
              <w:spacing w:before="160" w:line="360" w:lineRule="auto"/>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货物名称.品牌.规格.型号</w:t>
            </w:r>
          </w:p>
        </w:tc>
        <w:tc>
          <w:tcPr>
            <w:tcW w:w="871" w:type="dxa"/>
            <w:noWrap w:val="0"/>
            <w:vAlign w:val="top"/>
          </w:tcPr>
          <w:p>
            <w:pPr>
              <w:widowControl w:val="0"/>
              <w:snapToGrid w:val="0"/>
              <w:spacing w:before="160" w:line="360" w:lineRule="auto"/>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单位</w:t>
            </w:r>
          </w:p>
        </w:tc>
        <w:tc>
          <w:tcPr>
            <w:tcW w:w="1021" w:type="dxa"/>
            <w:noWrap w:val="0"/>
            <w:vAlign w:val="top"/>
          </w:tcPr>
          <w:p>
            <w:pPr>
              <w:widowControl w:val="0"/>
              <w:snapToGrid w:val="0"/>
              <w:spacing w:before="160" w:line="360" w:lineRule="auto"/>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数量</w:t>
            </w:r>
          </w:p>
        </w:tc>
        <w:tc>
          <w:tcPr>
            <w:tcW w:w="1436" w:type="dxa"/>
            <w:noWrap w:val="0"/>
            <w:vAlign w:val="top"/>
          </w:tcPr>
          <w:p>
            <w:pPr>
              <w:widowControl w:val="0"/>
              <w:snapToGrid w:val="0"/>
              <w:spacing w:before="160" w:line="360" w:lineRule="auto"/>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单价（元）</w:t>
            </w:r>
          </w:p>
        </w:tc>
        <w:tc>
          <w:tcPr>
            <w:tcW w:w="1444" w:type="dxa"/>
            <w:noWrap w:val="0"/>
            <w:vAlign w:val="top"/>
          </w:tcPr>
          <w:p>
            <w:pPr>
              <w:widowControl w:val="0"/>
              <w:snapToGrid w:val="0"/>
              <w:spacing w:before="160" w:line="360" w:lineRule="auto"/>
              <w:ind w:firstLine="0" w:firstLineChars="0"/>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3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7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36"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44"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3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7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36"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44"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3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7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36"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44"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3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7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36"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44"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9"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3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7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021"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36"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444" w:type="dxa"/>
            <w:noWrap w:val="0"/>
            <w:vAlign w:val="center"/>
          </w:tcPr>
          <w:p>
            <w:pPr>
              <w:widowControl w:val="0"/>
              <w:snapToGrid w:val="0"/>
              <w:spacing w:before="160" w:line="360" w:lineRule="auto"/>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22" w:type="dxa"/>
            <w:gridSpan w:val="6"/>
            <w:noWrap w:val="0"/>
            <w:vAlign w:val="top"/>
          </w:tcPr>
          <w:p>
            <w:pPr>
              <w:widowControl w:val="0"/>
              <w:snapToGrid w:val="0"/>
              <w:spacing w:before="160"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合计：人民币金额（大写）：</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元</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tc>
      </w:tr>
    </w:tbl>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本合同价款包含乙方提供合同约定的货物及乙方提供合同中服务所支出的所有费用，甲方在上述合同价款之外不再向乙方支付其他任何费用。</w:t>
      </w:r>
    </w:p>
    <w:p>
      <w:pPr>
        <w:widowControl w:val="0"/>
        <w:numPr>
          <w:ilvl w:val="0"/>
          <w:numId w:val="3"/>
        </w:numPr>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供货期</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及供货地点</w:t>
      </w:r>
      <w:r>
        <w:rPr>
          <w:rFonts w:hint="eastAsia" w:asciiTheme="minorEastAsia" w:hAnsiTheme="minorEastAsia" w:eastAsiaTheme="minorEastAsia" w:cstheme="minorEastAsia"/>
          <w:b/>
          <w:color w:val="000000" w:themeColor="text1"/>
          <w:sz w:val="24"/>
          <w:szCs w:val="24"/>
          <w14:textFill>
            <w14:solidFill>
              <w14:schemeClr w14:val="tx1"/>
            </w14:solidFill>
          </w14:textFill>
        </w:rPr>
        <w:t>：</w:t>
      </w:r>
    </w:p>
    <w:p>
      <w:pPr>
        <w:widowControl w:val="0"/>
        <w:numPr>
          <w:ilvl w:val="0"/>
          <w:numId w:val="4"/>
        </w:numPr>
        <w:spacing w:line="360" w:lineRule="auto"/>
        <w:ind w:firstLine="480" w:firstLineChars="200"/>
        <w:rPr>
          <w:rFonts w:hint="eastAsia" w:ascii="宋体" w:hAnsi="宋体" w:cs="宋体"/>
          <w:color w:val="000000" w:themeColor="text1"/>
          <w:kern w:val="0"/>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合同签订生效后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个日历天内完成供货，开始供货并在招标人发出安装通知指令后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个日历天内完成安装调试达到生产条件。</w:t>
      </w:r>
      <w:r>
        <w:rPr>
          <w:rFonts w:hint="eastAsia" w:ascii="宋体" w:hAnsi="宋体" w:eastAsia="宋体" w:cs="宋体"/>
          <w:color w:val="000000" w:themeColor="text1"/>
          <w:kern w:val="0"/>
          <w:szCs w:val="21"/>
          <w14:textFill>
            <w14:solidFill>
              <w14:schemeClr w14:val="tx1"/>
            </w14:solidFill>
          </w14:textFill>
        </w:rPr>
        <w:t>具体供货开始和结束期限以项目实际需求为准</w:t>
      </w:r>
      <w:r>
        <w:rPr>
          <w:rFonts w:hint="eastAsia" w:ascii="宋体" w:hAnsi="宋体" w:cs="宋体"/>
          <w:color w:val="000000" w:themeColor="text1"/>
          <w:kern w:val="0"/>
          <w:szCs w:val="21"/>
          <w:lang w:eastAsia="zh-CN"/>
          <w14:textFill>
            <w14:solidFill>
              <w14:schemeClr w14:val="tx1"/>
            </w14:solidFill>
          </w14:textFill>
        </w:rPr>
        <w:t>。</w:t>
      </w:r>
    </w:p>
    <w:p>
      <w:pPr>
        <w:widowControl w:val="0"/>
        <w:numPr>
          <w:ilvl w:val="0"/>
          <w:numId w:val="4"/>
        </w:numPr>
        <w:spacing w:line="360" w:lineRule="auto"/>
        <w:ind w:firstLine="480" w:firstLineChars="200"/>
        <w:rPr>
          <w:rFonts w:hint="eastAsia" w:ascii="宋体" w:hAnsi="宋体" w:cs="宋体"/>
          <w:color w:val="000000" w:themeColor="text1"/>
          <w:kern w:val="0"/>
          <w:szCs w:val="21"/>
          <w:lang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供货地点：滨海枢纽项目现场（江苏滨海县通榆镇境内）</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三、质量技术标准</w:t>
      </w:r>
    </w:p>
    <w:p>
      <w:pPr>
        <w:widowControl w:val="0"/>
        <w:spacing w:line="480" w:lineRule="exact"/>
        <w:ind w:firstLine="480" w:firstLineChars="200"/>
        <w:rPr>
          <w:rFonts w:hint="default" w:asciiTheme="minorEastAsia" w:hAnsiTheme="minorEastAsia" w:eastAsiaTheme="minorEastAsia" w:cstheme="minorEastAsia"/>
          <w:color w:val="000000" w:themeColor="text1"/>
          <w:sz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乙方提供的产品必须为原装正品，严禁</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贴</w:t>
      </w:r>
      <w:r>
        <w:rPr>
          <w:rFonts w:hint="eastAsia" w:asciiTheme="minorEastAsia" w:hAnsiTheme="minorEastAsia" w:eastAsiaTheme="minorEastAsia" w:cstheme="minorEastAsia"/>
          <w:color w:val="000000" w:themeColor="text1"/>
          <w:sz w:val="24"/>
          <w14:textFill>
            <w14:solidFill>
              <w14:schemeClr w14:val="tx1"/>
            </w14:solidFill>
          </w14:textFill>
        </w:rPr>
        <w:t>牌、伪造，应为全新未使用的产品，性能及质量有国家标准的应符合国家标准。无国家标准的应符合行业标准或企业标准，并满足招标文件要求，实现投标文件承诺条款。符合招标文件技术参数要求。</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四、实施方式及费用</w:t>
      </w:r>
    </w:p>
    <w:p>
      <w:pPr>
        <w:widowControl w:val="0"/>
        <w:spacing w:after="200" w:line="500" w:lineRule="exact"/>
        <w:ind w:firstLine="480" w:firstLineChars="200"/>
        <w:jc w:val="lef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乙方负责把货物运至甲方指定的位置(如果产生搬运费用由乙方支付)，乙方承担运输义务，运输过程中的各种风险由乙方承担；实施方式由乙方视情况自定，费用自负。</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五、验收</w:t>
      </w:r>
    </w:p>
    <w:p>
      <w:pPr>
        <w:widowControl w:val="0"/>
        <w:spacing w:line="480" w:lineRule="exact"/>
        <w:ind w:firstLine="480" w:firstLineChars="200"/>
        <w:rPr>
          <w:rFonts w:hint="eastAsia" w:asciiTheme="minorEastAsia" w:hAnsiTheme="minorEastAsia" w:eastAsiaTheme="minorEastAsia" w:cstheme="minorEastAsia"/>
          <w:color w:val="000000" w:themeColor="text1"/>
          <w:kern w:val="0"/>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w:t>
      </w:r>
      <w:r>
        <w:rPr>
          <w:rFonts w:hint="eastAsia" w:asciiTheme="minorEastAsia" w:hAnsiTheme="minorEastAsia" w:eastAsiaTheme="minorEastAsia" w:cstheme="minorEastAsia"/>
          <w:color w:val="000000" w:themeColor="text1"/>
          <w:kern w:val="0"/>
          <w:sz w:val="24"/>
          <w14:textFill>
            <w14:solidFill>
              <w14:schemeClr w14:val="tx1"/>
            </w14:solidFill>
          </w14:textFill>
        </w:rPr>
        <w:t>在</w:t>
      </w:r>
      <w:r>
        <w:rPr>
          <w:rFonts w:hint="eastAsia" w:asciiTheme="minorEastAsia" w:hAnsiTheme="minorEastAsia" w:eastAsiaTheme="minorEastAsia" w:cstheme="minorEastAsia"/>
          <w:color w:val="000000" w:themeColor="text1"/>
          <w:sz w:val="24"/>
          <w14:textFill>
            <w14:solidFill>
              <w14:schemeClr w14:val="tx1"/>
            </w14:solidFill>
          </w14:textFill>
        </w:rPr>
        <w:t>货物</w:t>
      </w:r>
      <w:r>
        <w:rPr>
          <w:rFonts w:hint="eastAsia" w:asciiTheme="minorEastAsia" w:hAnsiTheme="minorEastAsia" w:eastAsiaTheme="minorEastAsia" w:cstheme="minorEastAsia"/>
          <w:color w:val="000000" w:themeColor="text1"/>
          <w:kern w:val="0"/>
          <w:sz w:val="24"/>
          <w14:textFill>
            <w14:solidFill>
              <w14:schemeClr w14:val="tx1"/>
            </w14:solidFill>
          </w14:textFill>
        </w:rPr>
        <w:t>进场并安装调试后，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widowControl w:val="0"/>
        <w:spacing w:line="480" w:lineRule="exact"/>
        <w:ind w:firstLine="480" w:firstLineChars="200"/>
        <w:rPr>
          <w:rFonts w:hint="eastAsia" w:asciiTheme="minorEastAsia" w:hAnsiTheme="minorEastAsia" w:eastAsiaTheme="minorEastAsia" w:cstheme="minorEastAsia"/>
          <w:color w:val="000000" w:themeColor="text1"/>
          <w:kern w:val="0"/>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2、甲方组建验收小组，验收小组由单位</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派员组成</w:t>
      </w:r>
      <w:r>
        <w:rPr>
          <w:rFonts w:hint="eastAsia" w:asciiTheme="minorEastAsia" w:hAnsiTheme="minorEastAsia" w:eastAsiaTheme="minorEastAsia" w:cstheme="minorEastAsia"/>
          <w:bCs/>
          <w:color w:val="000000" w:themeColor="text1"/>
          <w:sz w:val="24"/>
          <w14:textFill>
            <w14:solidFill>
              <w14:schemeClr w14:val="tx1"/>
            </w14:solidFill>
          </w14:textFill>
        </w:rPr>
        <w:t>，按采购合同约定的时间组织验收，并出具验收报告。</w:t>
      </w:r>
    </w:p>
    <w:p>
      <w:pPr>
        <w:widowControl w:val="0"/>
        <w:spacing w:line="480" w:lineRule="exact"/>
        <w:ind w:firstLine="480" w:firstLineChars="20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14:textFill>
            <w14:solidFill>
              <w14:schemeClr w14:val="tx1"/>
            </w14:solidFill>
          </w14:textFill>
        </w:rPr>
        <w:t>3、</w:t>
      </w:r>
      <w:r>
        <w:rPr>
          <w:rFonts w:hint="eastAsia" w:asciiTheme="minorEastAsia" w:hAnsiTheme="minorEastAsia" w:eastAsiaTheme="minorEastAsia" w:cstheme="minorEastAsia"/>
          <w:color w:val="000000" w:themeColor="text1"/>
          <w:sz w:val="24"/>
          <w14:textFill>
            <w14:solidFill>
              <w14:schemeClr w14:val="tx1"/>
            </w14:solidFill>
          </w14:textFill>
        </w:rPr>
        <w:t>甲方在验收中，如发现有与合同规定不符的，应向乙方提出书面意见，乙方在接到甲方书面意见后，应在</w:t>
      </w:r>
      <w:r>
        <w:rPr>
          <w:rFonts w:hint="eastAsia" w:asciiTheme="minorEastAsia" w:hAnsiTheme="minorEastAsia" w:eastAsiaTheme="minorEastAsia" w:cstheme="minorEastAsia"/>
          <w:color w:val="000000" w:themeColor="text1"/>
          <w:sz w:val="24"/>
          <w:u w:val="single"/>
          <w14:textFill>
            <w14:solidFill>
              <w14:schemeClr w14:val="tx1"/>
            </w14:solidFill>
          </w14:textFill>
        </w:rPr>
        <w:t>2</w:t>
      </w:r>
      <w:r>
        <w:rPr>
          <w:rFonts w:hint="eastAsia" w:asciiTheme="minorEastAsia" w:hAnsiTheme="minorEastAsia" w:eastAsiaTheme="minorEastAsia" w:cstheme="minorEastAsia"/>
          <w:color w:val="000000" w:themeColor="text1"/>
          <w:sz w:val="24"/>
          <w14:textFill>
            <w14:solidFill>
              <w14:schemeClr w14:val="tx1"/>
            </w14:solidFill>
          </w14:textFill>
        </w:rPr>
        <w:t>天内予以处理，并将处理结果以书面形式告知甲方。</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4、货物不能通过验收的，将按照退货处理，乙方应在甲方限定时间内予以更换符合要求的货物。</w:t>
      </w:r>
    </w:p>
    <w:p>
      <w:pPr>
        <w:widowControl w:val="0"/>
        <w:spacing w:line="360" w:lineRule="auto"/>
        <w:ind w:firstLine="480" w:firstLineChars="200"/>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六、付款方式：</w:t>
      </w:r>
    </w:p>
    <w:p>
      <w:pPr>
        <w:pStyle w:val="39"/>
        <w:widowControl w:val="0"/>
        <w:spacing w:after="0" w:line="500" w:lineRule="exact"/>
        <w:ind w:firstLine="480" w:firstLineChars="200"/>
        <w:rPr>
          <w:rFonts w:hint="eastAsia" w:ascii="宋体" w:hAnsi="宋体"/>
          <w:color w:val="000000" w:themeColor="text1"/>
          <w:szCs w:val="21"/>
          <w:u w:val="none"/>
          <w14:textFill>
            <w14:solidFill>
              <w14:schemeClr w14:val="tx1"/>
            </w14:solidFill>
          </w14:textFill>
        </w:rPr>
      </w:pPr>
      <w:r>
        <w:rPr>
          <w:rFonts w:ascii="宋体" w:hAnsi="宋体"/>
          <w:color w:val="000000" w:themeColor="text1"/>
          <w:szCs w:val="21"/>
          <w:u w:val="none"/>
          <w14:textFill>
            <w14:solidFill>
              <w14:schemeClr w14:val="tx1"/>
            </w14:solidFill>
          </w14:textFill>
        </w:rPr>
        <w:t>1、</w:t>
      </w:r>
      <w:r>
        <w:rPr>
          <w:rFonts w:hint="eastAsia" w:ascii="宋体" w:hAnsi="宋体"/>
          <w:color w:val="000000" w:themeColor="text1"/>
          <w:szCs w:val="21"/>
          <w:u w:val="none"/>
          <w:lang w:val="en-US" w:eastAsia="zh-CN"/>
          <w14:textFill>
            <w14:solidFill>
              <w14:schemeClr w14:val="tx1"/>
            </w14:solidFill>
          </w14:textFill>
        </w:rPr>
        <w:t>本合同无预付款，</w:t>
      </w:r>
      <w:r>
        <w:rPr>
          <w:rFonts w:hint="eastAsia" w:ascii="宋体" w:hAnsi="宋体"/>
          <w:color w:val="000000" w:themeColor="text1"/>
          <w:szCs w:val="21"/>
          <w:lang w:val="en-US" w:eastAsia="zh-CN"/>
          <w14:textFill>
            <w14:solidFill>
              <w14:schemeClr w14:val="tx1"/>
            </w14:solidFill>
          </w14:textFill>
        </w:rPr>
        <w:t>供货结束安装调试成功且正常生产运行后一个月内</w:t>
      </w:r>
      <w:r>
        <w:rPr>
          <w:rFonts w:hint="eastAsia" w:ascii="宋体" w:hAnsi="宋体"/>
          <w:color w:val="000000" w:themeColor="text1"/>
          <w:szCs w:val="21"/>
          <w:u w:val="none"/>
          <w:lang w:val="en-US" w:eastAsia="zh-CN"/>
          <w14:textFill>
            <w14:solidFill>
              <w14:schemeClr w14:val="tx1"/>
            </w14:solidFill>
          </w14:textFill>
        </w:rPr>
        <w:t>，甲方收到乙方提供税率为13%的增值税专用发票、</w:t>
      </w:r>
      <w:r>
        <w:rPr>
          <w:rFonts w:hint="eastAsia" w:asciiTheme="minorEastAsia" w:hAnsiTheme="minorEastAsia" w:eastAsiaTheme="minorEastAsia" w:cstheme="minorEastAsia"/>
          <w:color w:val="000000" w:themeColor="text1"/>
          <w:sz w:val="24"/>
          <w:szCs w:val="24"/>
          <w14:textFill>
            <w14:solidFill>
              <w14:schemeClr w14:val="tx1"/>
            </w14:solidFill>
          </w14:textFill>
        </w:rPr>
        <w:t>制造厂家出具的质量检验证书等、装箱单、验收合格证书、</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甲方</w:t>
      </w:r>
      <w:r>
        <w:rPr>
          <w:rFonts w:hint="eastAsia" w:asciiTheme="minorEastAsia" w:hAnsiTheme="minorEastAsia" w:eastAsiaTheme="minorEastAsia" w:cstheme="minorEastAsia"/>
          <w:color w:val="000000" w:themeColor="text1"/>
          <w:sz w:val="24"/>
          <w:szCs w:val="24"/>
          <w14:textFill>
            <w14:solidFill>
              <w14:schemeClr w14:val="tx1"/>
            </w14:solidFill>
          </w14:textFill>
        </w:rPr>
        <w:t>加盖公章证明货物交付使用合格的验收合格报告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等资料后</w:t>
      </w:r>
      <w:r>
        <w:rPr>
          <w:rFonts w:hint="eastAsia" w:asciiTheme="minorEastAsia" w:hAnsiTheme="minorEastAsia" w:eastAsiaTheme="minorEastAsia" w:cstheme="minorEastAsia"/>
          <w:color w:val="000000" w:themeColor="text1"/>
          <w:kern w:val="0"/>
          <w:sz w:val="24"/>
          <w:u w:val="none"/>
          <w:lang w:val="en-US" w:eastAsia="zh-CN"/>
          <w14:textFill>
            <w14:solidFill>
              <w14:schemeClr w14:val="tx1"/>
            </w14:solidFill>
          </w14:textFill>
        </w:rPr>
        <w:t>，</w:t>
      </w:r>
      <w:r>
        <w:rPr>
          <w:rFonts w:ascii="宋体" w:hAnsi="宋体"/>
          <w:color w:val="000000" w:themeColor="text1"/>
          <w:szCs w:val="21"/>
          <w:u w:val="none"/>
          <w14:textFill>
            <w14:solidFill>
              <w14:schemeClr w14:val="tx1"/>
            </w14:solidFill>
          </w14:textFill>
        </w:rPr>
        <w:t>付</w:t>
      </w:r>
      <w:r>
        <w:rPr>
          <w:rFonts w:hint="eastAsia" w:ascii="宋体" w:hAnsi="宋体"/>
          <w:color w:val="000000" w:themeColor="text1"/>
          <w:szCs w:val="21"/>
          <w:u w:val="none"/>
          <w:lang w:val="en-US" w:eastAsia="zh-CN"/>
          <w14:textFill>
            <w14:solidFill>
              <w14:schemeClr w14:val="tx1"/>
            </w14:solidFill>
          </w14:textFill>
        </w:rPr>
        <w:t>至</w:t>
      </w:r>
      <w:r>
        <w:rPr>
          <w:rFonts w:ascii="宋体" w:hAnsi="宋体"/>
          <w:color w:val="000000" w:themeColor="text1"/>
          <w:szCs w:val="21"/>
          <w:u w:val="none"/>
          <w14:textFill>
            <w14:solidFill>
              <w14:schemeClr w14:val="tx1"/>
            </w14:solidFill>
          </w14:textFill>
        </w:rPr>
        <w:t>合同总价的</w:t>
      </w:r>
      <w:r>
        <w:rPr>
          <w:rFonts w:hint="eastAsia" w:ascii="宋体" w:hAnsi="宋体"/>
          <w:color w:val="000000" w:themeColor="text1"/>
          <w:szCs w:val="21"/>
          <w:u w:val="none"/>
          <w:lang w:val="en-US" w:eastAsia="zh-CN"/>
          <w14:textFill>
            <w14:solidFill>
              <w14:schemeClr w14:val="tx1"/>
            </w14:solidFill>
          </w14:textFill>
        </w:rPr>
        <w:t>9</w:t>
      </w:r>
      <w:r>
        <w:rPr>
          <w:rFonts w:hint="eastAsia" w:ascii="宋体" w:hAnsi="宋体"/>
          <w:color w:val="000000" w:themeColor="text1"/>
          <w:szCs w:val="21"/>
          <w:u w:val="none"/>
          <w14:textFill>
            <w14:solidFill>
              <w14:schemeClr w14:val="tx1"/>
            </w14:solidFill>
          </w14:textFill>
        </w:rPr>
        <w:t>0</w:t>
      </w:r>
      <w:r>
        <w:rPr>
          <w:rFonts w:ascii="宋体" w:hAnsi="宋体"/>
          <w:color w:val="000000" w:themeColor="text1"/>
          <w:szCs w:val="21"/>
          <w:u w:val="none"/>
          <w14:textFill>
            <w14:solidFill>
              <w14:schemeClr w14:val="tx1"/>
            </w14:solidFill>
          </w14:textFill>
        </w:rPr>
        <w:t>%</w:t>
      </w:r>
      <w:r>
        <w:rPr>
          <w:rFonts w:hint="eastAsia" w:ascii="宋体" w:hAnsi="宋体"/>
          <w:color w:val="000000" w:themeColor="text1"/>
          <w:szCs w:val="21"/>
          <w:u w:val="none"/>
          <w14:textFill>
            <w14:solidFill>
              <w14:schemeClr w14:val="tx1"/>
            </w14:solidFill>
          </w14:textFill>
        </w:rPr>
        <w:t>。</w:t>
      </w:r>
    </w:p>
    <w:p>
      <w:pPr>
        <w:pStyle w:val="39"/>
        <w:widowControl w:val="0"/>
        <w:numPr>
          <w:ilvl w:val="-1"/>
          <w:numId w:val="0"/>
        </w:numPr>
        <w:spacing w:after="0" w:line="500" w:lineRule="exact"/>
        <w:ind w:left="0" w:leftChars="0" w:firstLine="480" w:firstLineChars="200"/>
        <w:rPr>
          <w:rFonts w:hint="eastAsia" w:ascii="宋体" w:hAnsi="宋体"/>
          <w:color w:val="000000" w:themeColor="text1"/>
          <w:szCs w:val="21"/>
          <w:u w:val="none"/>
          <w:lang w:val="en-US" w:eastAsia="zh-CN"/>
          <w14:textFill>
            <w14:solidFill>
              <w14:schemeClr w14:val="tx1"/>
            </w14:solidFill>
          </w14:textFill>
        </w:rPr>
      </w:pPr>
      <w:r>
        <w:rPr>
          <w:rFonts w:hint="default" w:ascii="宋体" w:hAnsi="宋体"/>
          <w:color w:val="000000" w:themeColor="text1"/>
          <w:szCs w:val="21"/>
          <w:u w:val="none"/>
          <w:lang w:val="en-US" w:eastAsia="zh-CN"/>
          <w14:textFill>
            <w14:solidFill>
              <w14:schemeClr w14:val="tx1"/>
            </w14:solidFill>
          </w14:textFill>
        </w:rPr>
        <w:t>2</w:t>
      </w:r>
      <w:r>
        <w:rPr>
          <w:rFonts w:hint="eastAsia" w:ascii="宋体" w:hAnsi="宋体"/>
          <w:color w:val="000000" w:themeColor="text1"/>
          <w:szCs w:val="21"/>
          <w:u w:val="none"/>
          <w:lang w:val="en-US" w:eastAsia="zh-CN"/>
          <w14:textFill>
            <w14:solidFill>
              <w14:schemeClr w14:val="tx1"/>
            </w14:solidFill>
          </w14:textFill>
        </w:rPr>
        <w:t>、</w:t>
      </w:r>
      <w:r>
        <w:rPr>
          <w:rFonts w:ascii="宋体" w:hAnsi="宋体"/>
          <w:color w:val="000000" w:themeColor="text1"/>
          <w:szCs w:val="21"/>
          <w:u w:val="none"/>
          <w14:textFill>
            <w14:solidFill>
              <w14:schemeClr w14:val="tx1"/>
            </w14:solidFill>
          </w14:textFill>
        </w:rPr>
        <w:t>余款自</w:t>
      </w:r>
      <w:r>
        <w:rPr>
          <w:rFonts w:hint="default" w:ascii="宋体" w:hAnsi="宋体"/>
          <w:color w:val="000000" w:themeColor="text1"/>
          <w:szCs w:val="21"/>
          <w:u w:val="none"/>
          <w:lang w:val="en-US" w:eastAsia="zh-CN"/>
          <w14:textFill>
            <w14:solidFill>
              <w14:schemeClr w14:val="tx1"/>
            </w14:solidFill>
          </w14:textFill>
        </w:rPr>
        <w:t>物品</w:t>
      </w:r>
      <w:r>
        <w:rPr>
          <w:rFonts w:hint="default" w:ascii="宋体" w:hAnsi="宋体"/>
          <w:color w:val="000000" w:themeColor="text1"/>
          <w:szCs w:val="21"/>
          <w:u w:val="none"/>
          <w14:textFill>
            <w14:solidFill>
              <w14:schemeClr w14:val="tx1"/>
            </w14:solidFill>
          </w14:textFill>
        </w:rPr>
        <w:t>交</w:t>
      </w:r>
      <w:r>
        <w:rPr>
          <w:rFonts w:hint="default" w:ascii="宋体" w:hAnsi="宋体"/>
          <w:color w:val="000000" w:themeColor="text1"/>
          <w:szCs w:val="21"/>
          <w:u w:val="none"/>
          <w:lang w:val="en-US" w:eastAsia="zh-CN"/>
          <w14:textFill>
            <w14:solidFill>
              <w14:schemeClr w14:val="tx1"/>
            </w14:solidFill>
          </w14:textFill>
        </w:rPr>
        <w:t>付安装调试成功且正常生产运行</w:t>
      </w:r>
      <w:r>
        <w:rPr>
          <w:rFonts w:hint="eastAsia" w:ascii="宋体" w:hAnsi="宋体"/>
          <w:color w:val="000000" w:themeColor="text1"/>
          <w:szCs w:val="21"/>
          <w:u w:val="none"/>
          <w:lang w:val="en-US" w:eastAsia="zh-CN"/>
          <w14:textFill>
            <w14:solidFill>
              <w14:schemeClr w14:val="tx1"/>
            </w14:solidFill>
          </w14:textFill>
        </w:rPr>
        <w:t>后</w:t>
      </w:r>
      <w:r>
        <w:rPr>
          <w:rFonts w:hint="default" w:ascii="宋体" w:hAnsi="宋体"/>
          <w:color w:val="000000" w:themeColor="text1"/>
          <w:szCs w:val="21"/>
          <w:u w:val="none"/>
          <w:lang w:val="en-US" w:eastAsia="zh-CN"/>
          <w14:textFill>
            <w14:solidFill>
              <w14:schemeClr w14:val="tx1"/>
            </w14:solidFill>
          </w14:textFill>
        </w:rPr>
        <w:t>一个月起满一年</w:t>
      </w:r>
      <w:r>
        <w:rPr>
          <w:rFonts w:hint="eastAsia" w:ascii="宋体" w:hAnsi="宋体"/>
          <w:color w:val="000000" w:themeColor="text1"/>
          <w:szCs w:val="21"/>
          <w:u w:val="none"/>
          <w:lang w:val="en-US" w:eastAsia="zh-CN"/>
          <w14:textFill>
            <w14:solidFill>
              <w14:schemeClr w14:val="tx1"/>
            </w14:solidFill>
          </w14:textFill>
        </w:rPr>
        <w:t>后</w:t>
      </w:r>
      <w:r>
        <w:rPr>
          <w:rFonts w:hint="default" w:ascii="宋体" w:hAnsi="宋体"/>
          <w:color w:val="000000" w:themeColor="text1"/>
          <w:szCs w:val="21"/>
          <w:u w:val="none"/>
          <w:lang w:val="en-US" w:eastAsia="zh-CN"/>
          <w14:textFill>
            <w14:solidFill>
              <w14:schemeClr w14:val="tx1"/>
            </w14:solidFill>
          </w14:textFill>
        </w:rPr>
        <w:t>，采购方收到</w:t>
      </w:r>
      <w:r>
        <w:rPr>
          <w:rFonts w:hint="eastAsia" w:ascii="宋体" w:hAnsi="宋体"/>
          <w:color w:val="000000" w:themeColor="text1"/>
          <w:szCs w:val="21"/>
          <w:u w:val="none"/>
          <w:lang w:val="en-US" w:eastAsia="zh-CN"/>
          <w14:textFill>
            <w14:solidFill>
              <w14:schemeClr w14:val="tx1"/>
            </w14:solidFill>
          </w14:textFill>
        </w:rPr>
        <w:t>税率为</w:t>
      </w:r>
      <w:r>
        <w:rPr>
          <w:rFonts w:hint="default" w:ascii="宋体" w:hAnsi="宋体"/>
          <w:color w:val="000000" w:themeColor="text1"/>
          <w:szCs w:val="21"/>
          <w:u w:val="none"/>
          <w:lang w:val="en-US" w:eastAsia="zh-CN"/>
          <w14:textFill>
            <w14:solidFill>
              <w14:schemeClr w14:val="tx1"/>
            </w14:solidFill>
          </w14:textFill>
        </w:rPr>
        <w:t>13%增值税</w:t>
      </w:r>
      <w:r>
        <w:rPr>
          <w:rFonts w:hint="eastAsia" w:ascii="宋体" w:hAnsi="宋体"/>
          <w:color w:val="000000" w:themeColor="text1"/>
          <w:szCs w:val="21"/>
          <w:u w:val="none"/>
          <w:lang w:val="en-US" w:eastAsia="zh-CN"/>
          <w14:textFill>
            <w14:solidFill>
              <w14:schemeClr w14:val="tx1"/>
            </w14:solidFill>
          </w14:textFill>
        </w:rPr>
        <w:t>专用发票和最终结算单等资料后无息付清。</w:t>
      </w:r>
    </w:p>
    <w:p>
      <w:pPr>
        <w:pStyle w:val="39"/>
        <w:widowControl w:val="0"/>
        <w:numPr>
          <w:ilvl w:val="0"/>
          <w:numId w:val="4"/>
        </w:numPr>
        <w:spacing w:after="0" w:line="500" w:lineRule="exact"/>
        <w:ind w:left="0" w:leftChars="0" w:firstLine="480"/>
        <w:rPr>
          <w:rFonts w:hint="eastAsia" w:ascii="宋体" w:hAnsi="宋体"/>
          <w:color w:val="000000" w:themeColor="text1"/>
          <w:szCs w:val="21"/>
          <w:u w:val="none"/>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乙方向甲方缴纳</w:t>
      </w:r>
      <w:r>
        <w:rPr>
          <w:rFonts w:hint="eastAsia" w:ascii="宋体" w:hAnsi="宋体" w:eastAsia="宋体" w:cs="宋体"/>
          <w:color w:val="000000" w:themeColor="text1"/>
          <w:kern w:val="0"/>
          <w:szCs w:val="21"/>
          <w14:textFill>
            <w14:solidFill>
              <w14:schemeClr w14:val="tx1"/>
            </w14:solidFill>
          </w14:textFill>
        </w:rPr>
        <w:t>履约保证金</w:t>
      </w:r>
      <w:r>
        <w:rPr>
          <w:rFonts w:hint="eastAsia" w:ascii="宋体" w:hAnsi="宋体" w:cs="宋体"/>
          <w:color w:val="000000" w:themeColor="text1"/>
          <w:kern w:val="0"/>
          <w:szCs w:val="21"/>
          <w:lang w:val="en-US" w:eastAsia="zh-CN"/>
          <w14:textFill>
            <w14:solidFill>
              <w14:schemeClr w14:val="tx1"/>
            </w14:solidFill>
          </w14:textFill>
        </w:rPr>
        <w:t>20万元（由投标保证金全额自动转为履约保证金）</w:t>
      </w:r>
      <w:r>
        <w:rPr>
          <w:rFonts w:hint="eastAsia" w:ascii="宋体" w:hAnsi="宋体" w:eastAsia="宋体" w:cs="宋体"/>
          <w:color w:val="000000" w:themeColor="text1"/>
          <w:kern w:val="0"/>
          <w:szCs w:val="21"/>
          <w14:textFill>
            <w14:solidFill>
              <w14:schemeClr w14:val="tx1"/>
            </w14:solidFill>
          </w14:textFill>
        </w:rPr>
        <w:t>，在签订合同前缴纳到位，在供</w:t>
      </w:r>
      <w:r>
        <w:rPr>
          <w:rFonts w:hint="eastAsia" w:ascii="宋体" w:hAnsi="宋体" w:cs="宋体"/>
          <w:color w:val="000000" w:themeColor="text1"/>
          <w:kern w:val="0"/>
          <w:szCs w:val="21"/>
          <w:lang w:val="en-US" w:eastAsia="zh-CN"/>
          <w14:textFill>
            <w14:solidFill>
              <w14:schemeClr w14:val="tx1"/>
            </w14:solidFill>
          </w14:textFill>
        </w:rPr>
        <w:t>货且安装完毕验收合格</w:t>
      </w:r>
      <w:r>
        <w:rPr>
          <w:rFonts w:hint="eastAsia" w:ascii="宋体" w:hAnsi="宋体" w:eastAsia="宋体" w:cs="宋体"/>
          <w:color w:val="000000" w:themeColor="text1"/>
          <w:kern w:val="0"/>
          <w:szCs w:val="21"/>
          <w14:textFill>
            <w14:solidFill>
              <w14:schemeClr w14:val="tx1"/>
            </w14:solidFill>
          </w14:textFill>
        </w:rPr>
        <w:t>无异议后无息退还。</w:t>
      </w:r>
    </w:p>
    <w:p>
      <w:pPr>
        <w:widowControl w:val="0"/>
        <w:spacing w:line="360" w:lineRule="auto"/>
        <w:ind w:firstLine="470" w:firstLineChars="196"/>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七、售后服务</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1、验收合格之日起乙方对设备免费保修</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年。质保期内，乙方对产品质量实行三包，因设备配置或制造质量问题而引起的故障，乙方应在24小时内立即予以免费维修或更换，由此引起的一切费用由乙方承担。</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2、技术支持响应时间。一般问题2小时内电话支持，难点、重点问题1天内现场解决，质保期内相关费用由乙方承担，质保期满后乙方收取成本费。</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3、乙方未在上述规定时间内履行质保义务的，甲方可委托第三方代为处理，由此产生的费用及损失均由乙方承担，每出现一次，由乙方向甲方支付合同总额2%违约金（可在质保金或应付款项中扣除）。</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注：乙方投标承诺中售后服务方案优于上述要求的，优先执行投标承诺内容。</w:t>
      </w:r>
    </w:p>
    <w:p>
      <w:pPr>
        <w:widowControl w:val="0"/>
        <w:spacing w:line="360" w:lineRule="auto"/>
        <w:ind w:firstLine="470" w:firstLineChars="196"/>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八、培训要求</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须派有设备操作、管理、维护经验的工程师，到甲方单位对甲方的人员进行优质的培训服务。对设备的使用、操作、维护、故障排除等进行免费培训，并提供安装使用维护说明书，以确保甲方能够对设备有足够的了解，能够独立进行日常操作、管理和维护。</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2、乙方必须为所有被培训人员提供培训用文字资料和讲义等相关用品。所有的资料必须是中文书写。上述资料的费用包含在投标报价内。</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所有的培训费用包括差旅、食宿、教材、资料等由乙方负责，均计入投标报价中。</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九、违约条款</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乙方逾期履行本合同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的约定或其他义务的</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，每逾期一日应向甲方支付合同</w:t>
      </w:r>
      <w:r>
        <w:rPr>
          <w:rFonts w:hint="eastAsia" w:asciiTheme="minorEastAsia" w:hAnsiTheme="minorEastAsia" w:eastAsiaTheme="minorEastAsia" w:cstheme="minorEastAsia"/>
          <w:color w:val="000000" w:themeColor="text1"/>
          <w:sz w:val="24"/>
          <w:szCs w:val="24"/>
          <w:lang w:eastAsia="zh-Hans"/>
          <w14:textFill>
            <w14:solidFill>
              <w14:schemeClr w14:val="tx1"/>
            </w14:solidFill>
          </w14:textFill>
        </w:rPr>
        <w:t>总额</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 xml:space="preserve">3‰的违约金。如乙方逾期履行达15日，甲方有权单方解除合同，解除合同的通知自送达乙方时生效。甲方选择解除合同的，乙方须返还已付款项，并按合同总额30%支付违约金。 </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本项目不得转让、分包，如有发生，甲方有权解除合同，有权要求乙方退还甲方已付款项，并由乙方支付合同总额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0%违约金。</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乙方未按本合同约定提供售后服务的，应按合同总额10%向甲方支付违约金，并承担非乙方提供的售后服务产生的费用。</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非因甲方原因，乙方不履行本合同</w:t>
      </w:r>
      <w:r>
        <w:rPr>
          <w:rFonts w:hint="eastAsia" w:asciiTheme="minorEastAsia" w:hAnsiTheme="minorEastAsia" w:eastAsiaTheme="minorEastAsia" w:cstheme="minorEastAsia"/>
          <w:color w:val="000000" w:themeColor="text1"/>
          <w:sz w:val="24"/>
          <w:szCs w:val="24"/>
          <w14:textFill>
            <w14:solidFill>
              <w14:schemeClr w14:val="tx1"/>
            </w14:solidFill>
          </w14:textFill>
        </w:rPr>
        <w:t>的约定或其他义务的</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，甲方有权要求其进行整改，并要求乙方支付合同总额10%违约金；未按甲方要求进行整改的，甲方有权解除本合同，乙方须返还已付款项，乙方应支付合同总额</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0%的违约金。不足弥补甲方损失的，仍需赔偿。</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w:t>
      </w:r>
      <w:r>
        <w:rPr>
          <w:rFonts w:hint="eastAsia" w:asciiTheme="minorEastAsia" w:hAnsiTheme="minorEastAsia" w:eastAsiaTheme="minorEastAsia" w:cstheme="minorEastAsia"/>
          <w:color w:val="000000" w:themeColor="text1"/>
          <w:sz w:val="24"/>
          <w:szCs w:val="24"/>
          <w:lang w:val="zh-CN"/>
          <w14:textFill>
            <w14:solidFill>
              <w14:schemeClr w14:val="tx1"/>
            </w14:solidFill>
          </w14:textFill>
        </w:rPr>
        <w:t>违约方应承担守约方主张权益产生的包括但不限于交通费、误工费、律师费、鉴定费、保全费、保全保险费、诉讼费等相关费用。</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4"/>
          <w14:textFill>
            <w14:solidFill>
              <w14:schemeClr w14:val="tx1"/>
            </w14:solidFill>
          </w14:textFill>
        </w:rPr>
        <w:t>、在合同履行期间，因非可归于甲方的原因造成的乙方自身或者他人人身损害及财产损失，均由乙方自行承担。</w:t>
      </w:r>
    </w:p>
    <w:p>
      <w:pPr>
        <w:widowControl w:val="0"/>
        <w:spacing w:line="480" w:lineRule="exact"/>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十、争议处理</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1、本合同履行期间，如发生争议，甲乙双方应协商解决。如双方不愿通过协商解决，或协商解决不成时，可向甲方所在地</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扬州市广陵区</w:t>
      </w:r>
      <w:r>
        <w:rPr>
          <w:rFonts w:hint="eastAsia" w:asciiTheme="minorEastAsia" w:hAnsiTheme="minorEastAsia" w:eastAsiaTheme="minorEastAsia" w:cstheme="minorEastAsia"/>
          <w:color w:val="000000" w:themeColor="text1"/>
          <w:sz w:val="24"/>
          <w:szCs w:val="24"/>
          <w14:textFill>
            <w14:solidFill>
              <w14:schemeClr w14:val="tx1"/>
            </w14:solidFill>
          </w14:textFill>
        </w:rPr>
        <w:t>人民法院提起诉讼。</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甲乙双方签订本合同时登记的地址、联系方式作为通知及法律文书（含诉讼文书、传票等）送达地址、联系方式，如有变更，甲乙双方须提前以书面形式通知对方。否则，如出现无法通知、文书被退回、拒收等情形视为对方已收，由此产生的法律后果均由该方承担。</w:t>
      </w:r>
    </w:p>
    <w:p>
      <w:pPr>
        <w:widowControl w:val="0"/>
        <w:spacing w:line="360" w:lineRule="auto"/>
        <w:ind w:firstLine="470" w:firstLineChars="196"/>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3、任何一方由于不可抗力原因致使本合同无法继续履行或完全履行的，应在不可抗力事件发生后3日内向对方通报，并尽最大努力予以补救，减轻可能给对方造成的损失，在取得有关机构的不可抗力证明后，允许延期履行、部分履行或者不履行合同，并根据情况可部分或全部免予承担违约责任。 </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一</w:t>
      </w:r>
      <w:r>
        <w:rPr>
          <w:rFonts w:hint="eastAsia" w:asciiTheme="minorEastAsia" w:hAnsiTheme="minorEastAsia" w:eastAsiaTheme="minorEastAsia" w:cstheme="minorEastAsia"/>
          <w:b/>
          <w:color w:val="000000" w:themeColor="text1"/>
          <w:sz w:val="24"/>
          <w:szCs w:val="24"/>
          <w14:textFill>
            <w14:solidFill>
              <w14:schemeClr w14:val="tx1"/>
            </w14:solidFill>
          </w14:textFill>
        </w:rPr>
        <w:t>、合同生效及审核</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本合同经甲方、乙方签字盖章后生效，合同签订的内容不能超出招标文件和投标文件的实质性内容。</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二</w:t>
      </w:r>
      <w:r>
        <w:rPr>
          <w:rFonts w:hint="eastAsia" w:asciiTheme="minorEastAsia" w:hAnsiTheme="minorEastAsia" w:eastAsiaTheme="minorEastAsia" w:cstheme="minorEastAsia"/>
          <w:b/>
          <w:color w:val="000000" w:themeColor="text1"/>
          <w:sz w:val="24"/>
          <w:szCs w:val="24"/>
          <w14:textFill>
            <w14:solidFill>
              <w14:schemeClr w14:val="tx1"/>
            </w14:solidFill>
          </w14:textFill>
        </w:rPr>
        <w:t>、合同的组成部分</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本合同条款、中标通知书、招标文件、投标文件及乙方在开标时的书面承诺等构成合同的组成部分。</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三</w:t>
      </w:r>
      <w:r>
        <w:rPr>
          <w:rFonts w:hint="eastAsia" w:asciiTheme="minorEastAsia" w:hAnsiTheme="minorEastAsia" w:eastAsiaTheme="minorEastAsia" w:cstheme="minorEastAsia"/>
          <w:b/>
          <w:color w:val="000000" w:themeColor="text1"/>
          <w:sz w:val="24"/>
          <w:szCs w:val="24"/>
          <w14:textFill>
            <w14:solidFill>
              <w14:schemeClr w14:val="tx1"/>
            </w14:solidFill>
          </w14:textFill>
        </w:rPr>
        <w:t>、合同份数</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本合同自双方签字盖章之日起生效；合同文书壹式肆份，甲方执</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贰</w:t>
      </w:r>
      <w:r>
        <w:rPr>
          <w:rFonts w:hint="eastAsia" w:asciiTheme="minorEastAsia" w:hAnsiTheme="minorEastAsia" w:eastAsiaTheme="minorEastAsia" w:cstheme="minorEastAsia"/>
          <w:color w:val="000000" w:themeColor="text1"/>
          <w:sz w:val="24"/>
          <w:szCs w:val="24"/>
          <w14:textFill>
            <w14:solidFill>
              <w14:schemeClr w14:val="tx1"/>
            </w14:solidFill>
          </w14:textFill>
        </w:rPr>
        <w:t>份,乙方执</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贰</w:t>
      </w:r>
      <w:r>
        <w:rPr>
          <w:rFonts w:hint="eastAsia" w:asciiTheme="minorEastAsia" w:hAnsiTheme="minorEastAsia" w:eastAsiaTheme="minorEastAsia" w:cstheme="minorEastAsia"/>
          <w:color w:val="000000" w:themeColor="text1"/>
          <w:sz w:val="24"/>
          <w:szCs w:val="24"/>
          <w14:textFill>
            <w14:solidFill>
              <w14:schemeClr w14:val="tx1"/>
            </w14:solidFill>
          </w14:textFill>
        </w:rPr>
        <w:t>份。</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十</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4"/>
          <w:szCs w:val="24"/>
          <w14:textFill>
            <w14:solidFill>
              <w14:schemeClr w14:val="tx1"/>
            </w14:solidFill>
          </w14:textFill>
        </w:rPr>
        <w:t>、本合同一切未尽事宜，按《民法典》有关规定执行，无相关规定的，由甲乙双方协商解决。</w:t>
      </w:r>
    </w:p>
    <w:p>
      <w:pPr>
        <w:widowControl w:val="0"/>
        <w:snapToGrid w:val="0"/>
        <w:spacing w:before="19" w:line="360" w:lineRule="auto"/>
        <w:jc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第二部分  通用条款</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color w:val="000000" w:themeColor="text1"/>
          <w:sz w:val="24"/>
          <w:szCs w:val="24"/>
          <w14:textFill>
            <w14:solidFill>
              <w14:schemeClr w14:val="tx1"/>
            </w14:solidFill>
          </w14:textFill>
        </w:rPr>
        <w:t>、词语涵义</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（一）合同：甲乙双方签署的、合同格式中载明的甲方与乙方所达成的协议，包括所有的附件、附录和构成合同的所有文件。</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（二）合同价：根据合同规定，乙方在正确地完全履行合同义务后甲方应支付给卖方的价格。</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（三）货物：乙方根据合同规定须向买方提供的一切设备、机械、仪表、备件、工具、手册和其他技术资料及其他材料。</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（四）服务：乙方应承担的义务</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如</w:t>
      </w:r>
      <w:r>
        <w:rPr>
          <w:rFonts w:hint="eastAsia" w:asciiTheme="minorEastAsia" w:hAnsiTheme="minorEastAsia" w:eastAsiaTheme="minorEastAsia" w:cstheme="minorEastAsia"/>
          <w:color w:val="000000" w:themeColor="text1"/>
          <w:sz w:val="24"/>
          <w:szCs w:val="24"/>
          <w14:textFill>
            <w14:solidFill>
              <w14:schemeClr w14:val="tx1"/>
            </w14:solidFill>
          </w14:textFill>
        </w:rPr>
        <w:t>运输、保险</w:t>
      </w:r>
      <w:r>
        <w:rPr>
          <w:rFonts w:hint="eastAsia" w:asciiTheme="minorEastAsia" w:hAnsiTheme="minorEastAsia" w:eastAsiaTheme="minorEastAsia" w:cstheme="minorEastAsia"/>
          <w:strike w:val="0"/>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安装、调试、提供技术援助、培训和其他类似的</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服务</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widowControl w:val="0"/>
        <w:snapToGrid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（五）甲方：采购单位，即</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江苏省水利建设工程有限公司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（六）乙方：提供货物和服务的公司或实体，即</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pPr>
        <w:widowControl w:val="0"/>
        <w:snapToGrid w:val="0"/>
        <w:spacing w:line="360" w:lineRule="auto"/>
        <w:ind w:firstLine="480" w:firstLineChars="20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（七）不可抗力：指</w:t>
      </w:r>
      <w:r>
        <w:rPr>
          <w:rFonts w:hint="eastAsia" w:asciiTheme="minorEastAsia" w:hAnsiTheme="minorEastAsia" w:eastAsiaTheme="minorEastAsia" w:cstheme="minorEastAsia"/>
          <w:color w:val="000000" w:themeColor="text1"/>
          <w:spacing w:val="8"/>
          <w:sz w:val="24"/>
          <w:szCs w:val="24"/>
          <w14:textFill>
            <w14:solidFill>
              <w14:schemeClr w14:val="tx1"/>
            </w14:solidFill>
          </w14:textFill>
        </w:rPr>
        <w:t>不能预见、不能避免和不能克服的客观情况，</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如战争、动乱、空中飞行物体坠落或其它非甲乙方责任造成的爆炸、火灾，以及协议条款约定等级以上的风、雨、雪、地震等。</w:t>
      </w:r>
    </w:p>
    <w:p>
      <w:pPr>
        <w:widowControl w:val="0"/>
        <w:spacing w:line="360" w:lineRule="auto"/>
        <w:ind w:firstLine="480" w:firstLineChars="200"/>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、技术规格</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乙方所提供货物的技术规格应与</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投标</w:t>
      </w:r>
      <w:r>
        <w:rPr>
          <w:rFonts w:hint="eastAsia" w:asciiTheme="minorEastAsia" w:hAnsiTheme="minorEastAsia" w:eastAsiaTheme="minorEastAsia" w:cstheme="minorEastAsia"/>
          <w:color w:val="000000" w:themeColor="text1"/>
          <w:sz w:val="24"/>
          <w:szCs w:val="24"/>
          <w14:textFill>
            <w14:solidFill>
              <w14:schemeClr w14:val="tx1"/>
            </w14:solidFill>
          </w14:textFill>
        </w:rPr>
        <w:t>文件规定的技术规格以及所附的技术规格响应表相一致。</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七</w:t>
      </w:r>
      <w:r>
        <w:rPr>
          <w:rFonts w:hint="eastAsia" w:asciiTheme="minorEastAsia" w:hAnsiTheme="minorEastAsia" w:eastAsiaTheme="minorEastAsia" w:cstheme="minorEastAsia"/>
          <w:b/>
          <w:color w:val="000000" w:themeColor="text1"/>
          <w:sz w:val="24"/>
          <w:szCs w:val="24"/>
          <w14:textFill>
            <w14:solidFill>
              <w14:schemeClr w14:val="tx1"/>
            </w14:solidFill>
          </w14:textFill>
        </w:rPr>
        <w:t>、包装要求</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一）除合同另有规定外，乙方提供的全部货物均按标准保护措施进行包装。该包装应适应于远距离运输、防潮、防震、防锈和防野蛮装卸，以确保货物安全无损运抵指定现场。由于包装不善所引起的货物锈蚀、损坏和损失均由卖方承担。</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（二）每件包装箱内应附一份详细装箱单和质量合格标识。</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十八</w:t>
      </w:r>
      <w:r>
        <w:rPr>
          <w:rFonts w:hint="eastAsia" w:asciiTheme="minorEastAsia" w:hAnsiTheme="minorEastAsia" w:eastAsiaTheme="minorEastAsia" w:cstheme="minorEastAsia"/>
          <w:b/>
          <w:color w:val="000000" w:themeColor="text1"/>
          <w:sz w:val="24"/>
          <w:szCs w:val="24"/>
          <w14:textFill>
            <w14:solidFill>
              <w14:schemeClr w14:val="tx1"/>
            </w14:solidFill>
          </w14:textFill>
        </w:rPr>
        <w:t>、装运条件</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根据甲方指定地点，乙方负责安排运输，并承担运费。</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十九</w:t>
      </w:r>
      <w:r>
        <w:rPr>
          <w:rFonts w:hint="eastAsia" w:asciiTheme="minorEastAsia" w:hAnsiTheme="minorEastAsia" w:eastAsiaTheme="minorEastAsia" w:cstheme="minorEastAsia"/>
          <w:b/>
          <w:color w:val="000000" w:themeColor="text1"/>
          <w:sz w:val="24"/>
          <w:szCs w:val="24"/>
          <w14:textFill>
            <w14:solidFill>
              <w14:schemeClr w14:val="tx1"/>
            </w14:solidFill>
          </w14:textFill>
        </w:rPr>
        <w:t>、付款</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（一）本合同以人民币付款。</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二）乙方应按照与甲方签订的合同规定交货。交货后乙方向甲方提供下列单据，按合同规定审核后付款：1、发票；2、制造厂家出具的质量检验证书等；3、装箱单；4、验收合格证书；5、买方加盖公章证明货物交付使用合格的验收合格报告。</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二十</w:t>
      </w:r>
      <w:r>
        <w:rPr>
          <w:rFonts w:hint="eastAsia" w:asciiTheme="minorEastAsia" w:hAnsiTheme="minorEastAsia" w:eastAsiaTheme="minorEastAsia" w:cstheme="minorEastAsia"/>
          <w:b/>
          <w:color w:val="000000" w:themeColor="text1"/>
          <w:sz w:val="24"/>
          <w:szCs w:val="24"/>
          <w14:textFill>
            <w14:solidFill>
              <w14:schemeClr w14:val="tx1"/>
            </w14:solidFill>
          </w14:textFill>
        </w:rPr>
        <w:t>、伴随服务</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乙方应按照国家有关规定和合同中所附的服务承诺提供服务，主要包括：</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（一）</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派员指导</w:t>
      </w:r>
      <w:r>
        <w:rPr>
          <w:rFonts w:hint="eastAsia" w:asciiTheme="minorEastAsia" w:hAnsiTheme="minorEastAsia" w:eastAsiaTheme="minorEastAsia" w:cstheme="minorEastAsia"/>
          <w:color w:val="000000" w:themeColor="text1"/>
          <w:sz w:val="24"/>
          <w:szCs w:val="24"/>
          <w14:textFill>
            <w14:solidFill>
              <w14:schemeClr w14:val="tx1"/>
            </w14:solidFill>
          </w14:textFill>
        </w:rPr>
        <w:t>货物的现场安装；</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（二）提供货物组装和维修所需的工具；</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（三）在合同中乙方承诺的期限内对所提供货物实施运行监督、维修，该服务并不能免除乙方在质量保证期内应承担的义务；</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（四）在项目交货现场就货物的安装、启动、运行、维护对使用方人员进行培训。</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二十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一</w:t>
      </w:r>
      <w:r>
        <w:rPr>
          <w:rFonts w:hint="eastAsia" w:asciiTheme="minorEastAsia" w:hAnsiTheme="minorEastAsia" w:eastAsiaTheme="minorEastAsia" w:cstheme="minorEastAsia"/>
          <w:b/>
          <w:color w:val="000000" w:themeColor="text1"/>
          <w:sz w:val="24"/>
          <w:szCs w:val="24"/>
          <w14:textFill>
            <w14:solidFill>
              <w14:schemeClr w14:val="tx1"/>
            </w14:solidFill>
          </w14:textFill>
        </w:rPr>
        <w:t>、质量保证</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（一）乙方所提供的产品必须符合最新的国家标准和行业标准。</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二）乙方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乙方应负责并承担相应费用。</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二十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二</w:t>
      </w:r>
      <w:r>
        <w:rPr>
          <w:rFonts w:hint="eastAsia" w:asciiTheme="minorEastAsia" w:hAnsiTheme="minorEastAsia" w:eastAsiaTheme="minorEastAsia" w:cstheme="minorEastAsia"/>
          <w:b/>
          <w:color w:val="000000" w:themeColor="text1"/>
          <w:sz w:val="24"/>
          <w:szCs w:val="24"/>
          <w14:textFill>
            <w14:solidFill>
              <w14:schemeClr w14:val="tx1"/>
            </w14:solidFill>
          </w14:textFill>
        </w:rPr>
        <w:t>、检验</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一）在发货前，乙方应对货物的质量、规格、性能、数量和重量等进行准确而全面的检验，并出具一份证明货物符合合同规定的证书。该证书将作为提交付款单据的一部分，但有关质量、规格、性能、数量或重量的检验不应视为最终检验。检验的结果和细节应附在检验证书后面。</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二）甲方在乙方交货后及时组织验收，如果货物的质量和规格与合同规定相符，甲方应及时填写验收表；如果货物的质量、规格与合同规定不符，或在质量保证期内发现货物是有缺陷的（包括潜在缺陷或使用不符合要求的材料），甲方应报请法定检验机构进行检查，有权凭其出具的检验报告向乙方提出索赔。</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二十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三</w:t>
      </w:r>
      <w:r>
        <w:rPr>
          <w:rFonts w:hint="eastAsia" w:asciiTheme="minorEastAsia" w:hAnsiTheme="minorEastAsia" w:eastAsiaTheme="minorEastAsia" w:cstheme="minorEastAsia"/>
          <w:b/>
          <w:color w:val="000000" w:themeColor="text1"/>
          <w:sz w:val="24"/>
          <w:szCs w:val="24"/>
          <w14:textFill>
            <w14:solidFill>
              <w14:schemeClr w14:val="tx1"/>
            </w14:solidFill>
          </w14:textFill>
        </w:rPr>
        <w:t>、索赔</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一）甲方有权根据法定检验机构出具的检验报告，向乙方提出索赔。根据合同规定的检验期和质量保证期内，如乙方对甲方提出的索赔和差异负有责任，乙方应按照甲方同意的下列一种或多种方式解决索赔事宜：</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1、乙方同意退货，按合同中规定的货币将货款退还给甲方，并承担由此发生的一切损失和费用，包括利息、银行手续费、运费、保险费、检验费、仓储费、装卸费以及为保护退回货物所需的其它必要费用。</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2、根据货物的低劣程度、损坏程度以及买方所遭损失的数额，乙方须降低货物的价格。</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用符合合同规定的规格、质量和性能要求的新零件、部件或设备来更换和或修补有缺陷的部分，乙方应承担一切费用和风险并负担甲方所蒙受的全部直接损失费用。同时应按合同规定对更换和修补件，相应延长质量保证期。</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（二）在甲方发出索赔通知后20天内，如乙方未作答复，上述索赔应视为已被接受，按照本合同规定的任何一种方法解决索赔事宜，甲方将从乙方开具的履约保证金中扣除索赔金额或采用法律手段解决索赔事宜。</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二十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color w:val="000000" w:themeColor="text1"/>
          <w:sz w:val="24"/>
          <w:szCs w:val="24"/>
          <w14:textFill>
            <w14:solidFill>
              <w14:schemeClr w14:val="tx1"/>
            </w14:solidFill>
          </w14:textFill>
        </w:rPr>
        <w:t>、不可抗力</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在不可抗力事件发生后，乙方应尽快以书面形式将不可抗力的情况和原因通知甲方，同时应尽实际可能继续履行合同义务，以及寻求采取合理的方案履行不受不可抗力影响的其他事项。如果不可抗力事件影响时间持续120天以上时，双方应通过友好协商在合理的时间内达成进一步履行合同的协议。</w:t>
      </w:r>
    </w:p>
    <w:p>
      <w:pPr>
        <w:widowControl w:val="0"/>
        <w:spacing w:line="360" w:lineRule="auto"/>
        <w:ind w:firstLine="480" w:firstLineChars="200"/>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二十</w:t>
      </w: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color w:val="000000" w:themeColor="text1"/>
          <w:sz w:val="24"/>
          <w:szCs w:val="24"/>
          <w14:textFill>
            <w14:solidFill>
              <w14:schemeClr w14:val="tx1"/>
            </w14:solidFill>
          </w14:textFill>
        </w:rPr>
        <w:t>、税费</w:t>
      </w:r>
    </w:p>
    <w:p>
      <w:pPr>
        <w:widowControl w:val="0"/>
        <w:spacing w:line="360" w:lineRule="auto"/>
        <w:ind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根据现行税法规定对甲方征收的与本合同有关的一切税费由甲方负担；规定对乙方征收的与本合同有关的一切税费由乙方负担。</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二十六</w:t>
      </w:r>
      <w:r>
        <w:rPr>
          <w:rFonts w:hint="eastAsia" w:asciiTheme="minorEastAsia" w:hAnsiTheme="minorEastAsia" w:eastAsiaTheme="minorEastAsia" w:cstheme="minorEastAsia"/>
          <w:b/>
          <w:color w:val="000000" w:themeColor="text1"/>
          <w:sz w:val="24"/>
          <w:szCs w:val="24"/>
          <w14:textFill>
            <w14:solidFill>
              <w14:schemeClr w14:val="tx1"/>
            </w14:solidFill>
          </w14:textFill>
        </w:rPr>
        <w:t>、争议解决方式</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甲乙双方因履行本合同发生纠纷时，可以协商解决，协商不成的，任何一方均向</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甲方</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住所</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所在地</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扬州市广陵区</w:t>
      </w:r>
      <w:r>
        <w:rPr>
          <w:rFonts w:hint="eastAsia" w:asciiTheme="minorEastAsia" w:hAnsiTheme="minorEastAsia" w:eastAsiaTheme="minorEastAsia" w:cstheme="minorEastAsia"/>
          <w:color w:val="000000" w:themeColor="text1"/>
          <w:sz w:val="24"/>
          <w:szCs w:val="24"/>
          <w14:textFill>
            <w14:solidFill>
              <w14:schemeClr w14:val="tx1"/>
            </w14:solidFill>
          </w14:textFill>
        </w:rPr>
        <w:t>人民法院提起诉讼。</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甲方（盖章）：                      乙方（盖章）：                         </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单位地址：                         单位地址：                            </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法定（授权）代表人                 法定（授权）代表人                    </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联系电话：                         联系电话：                            </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开户银行：                         开户银行：                            </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账号名称：                         账号名称：                            </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帐号：                             帐号：                                </w:t>
      </w:r>
    </w:p>
    <w:p>
      <w:pPr>
        <w:widowControl w:val="0"/>
        <w:snapToGrid w:val="0"/>
        <w:spacing w:line="360" w:lineRule="auto"/>
        <w:ind w:right="120" w:rightChars="50" w:firstLine="480" w:firstLineChars="200"/>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   年   月   日              日期：     年   月   日</w:t>
      </w:r>
      <w:bookmarkEnd w:id="66"/>
      <w:bookmarkEnd w:id="67"/>
    </w:p>
    <w:p>
      <w:pPr>
        <w:pStyle w:val="13"/>
        <w:widowControl w:val="0"/>
        <w:rPr>
          <w:rFonts w:hint="eastAsia" w:asciiTheme="minorEastAsia" w:hAnsiTheme="minorEastAsia" w:eastAsiaTheme="minorEastAsia" w:cstheme="minorEastAsia"/>
          <w:color w:val="000000" w:themeColor="text1"/>
          <w:sz w:val="20"/>
          <w14:textFill>
            <w14:solidFill>
              <w14:schemeClr w14:val="tx1"/>
            </w14:solidFill>
          </w14:textFill>
        </w:rPr>
      </w:pPr>
    </w:p>
    <w:p>
      <w:pPr>
        <w:widowControl w:val="0"/>
        <w:rPr>
          <w:rFonts w:hint="eastAsia" w:asciiTheme="minorEastAsia" w:hAnsiTheme="minorEastAsia" w:eastAsiaTheme="minorEastAsia" w:cstheme="minorEastAsia"/>
          <w:color w:val="000000" w:themeColor="text1"/>
          <w14:textFill>
            <w14:solidFill>
              <w14:schemeClr w14:val="tx1"/>
            </w14:solidFill>
          </w14:textFill>
        </w:rPr>
      </w:pPr>
      <w:bookmarkStart w:id="68" w:name="EB4bf04b4826e541c387be47ca3bdc3585"/>
      <w:r>
        <w:rPr>
          <w:rFonts w:hint="eastAsia" w:asciiTheme="minorEastAsia" w:hAnsiTheme="minorEastAsia" w:eastAsiaTheme="minorEastAsia" w:cstheme="minorEastAsia"/>
          <w:color w:val="000000" w:themeColor="text1"/>
          <w:sz w:val="20"/>
          <w14:textFill>
            <w14:solidFill>
              <w14:schemeClr w14:val="tx1"/>
            </w14:solidFill>
          </w14:textFill>
        </w:rPr>
        <w:t xml:space="preserve"> </w:t>
      </w:r>
      <w:bookmarkEnd w:id="68"/>
    </w:p>
    <w:p>
      <w:pPr>
        <w:pStyle w:val="13"/>
        <w:widowControl w:val="0"/>
        <w:rPr>
          <w:rFonts w:hint="eastAsia" w:asciiTheme="minorEastAsia" w:hAnsiTheme="minorEastAsia" w:eastAsiaTheme="minorEastAsia" w:cstheme="minorEastAsia"/>
          <w:color w:val="000000" w:themeColor="text1"/>
          <w14:textFill>
            <w14:solidFill>
              <w14:schemeClr w14:val="tx1"/>
            </w14:solidFill>
          </w14:textFill>
        </w:rPr>
      </w:pPr>
    </w:p>
    <w:p>
      <w:pPr>
        <w:pStyle w:val="13"/>
        <w:widowControl w:val="0"/>
        <w:rPr>
          <w:rFonts w:hint="eastAsia" w:asciiTheme="minorEastAsia" w:hAnsiTheme="minorEastAsia" w:eastAsiaTheme="minorEastAsia" w:cstheme="minorEastAsia"/>
          <w:color w:val="000000" w:themeColor="text1"/>
          <w14:textFill>
            <w14:solidFill>
              <w14:schemeClr w14:val="tx1"/>
            </w14:solidFill>
          </w14:textFill>
        </w:rPr>
      </w:pPr>
    </w:p>
    <w:p>
      <w:pPr>
        <w:keepNext/>
        <w:keepLines/>
        <w:pageBreakBefore w:val="0"/>
        <w:widowControl w:val="0"/>
        <w:jc w:val="center"/>
        <w:outlineLvl w:val="0"/>
        <w:rPr>
          <w:rFonts w:hint="eastAsia" w:asciiTheme="minorEastAsia" w:hAnsiTheme="minorEastAsia" w:eastAsiaTheme="minorEastAsia" w:cstheme="minorEastAsia"/>
          <w:b/>
          <w:color w:val="000000" w:themeColor="text1"/>
          <w:sz w:val="44"/>
          <w:szCs w:val="44"/>
          <w14:textFill>
            <w14:solidFill>
              <w14:schemeClr w14:val="tx1"/>
            </w14:solidFill>
          </w14:textFill>
        </w:rPr>
      </w:pPr>
      <w:r>
        <w:rPr>
          <w:rFonts w:hint="eastAsia" w:asciiTheme="minorEastAsia" w:hAnsiTheme="minorEastAsia" w:eastAsiaTheme="minorEastAsia" w:cstheme="minorEastAsia"/>
          <w:b/>
          <w:color w:val="000000" w:themeColor="text1"/>
          <w:sz w:val="44"/>
          <w:szCs w:val="44"/>
          <w14:textFill>
            <w14:solidFill>
              <w14:schemeClr w14:val="tx1"/>
            </w14:solidFill>
          </w14:textFill>
        </w:rPr>
        <w:t>第六部分  投标文件格式</w:t>
      </w:r>
    </w:p>
    <w:p>
      <w:pPr>
        <w:widowControl w:val="0"/>
        <w:rPr>
          <w:rFonts w:hint="eastAsia" w:asciiTheme="minorEastAsia" w:hAnsiTheme="minorEastAsia" w:eastAsiaTheme="minorEastAsia" w:cstheme="minorEastAsia"/>
          <w:color w:val="000000" w:themeColor="text1"/>
          <w14:textFill>
            <w14:solidFill>
              <w14:schemeClr w14:val="tx1"/>
            </w14:solidFill>
          </w14:textFill>
        </w:rPr>
      </w:pPr>
      <w:bookmarkStart w:id="69" w:name="EB819316f773b24a75aef829f9b72900c0"/>
    </w:p>
    <w:p>
      <w:pPr>
        <w:pStyle w:val="40"/>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br w:type="page"/>
      </w:r>
      <w:bookmarkStart w:id="70" w:name="_Toc256000017"/>
      <w:r>
        <w:rPr>
          <w:rFonts w:hint="eastAsia" w:asciiTheme="minorEastAsia" w:hAnsiTheme="minorEastAsia" w:eastAsiaTheme="minorEastAsia" w:cstheme="minorEastAsia"/>
          <w:color w:val="000000" w:themeColor="text1"/>
          <w14:textFill>
            <w14:solidFill>
              <w14:schemeClr w14:val="tx1"/>
            </w14:solidFill>
          </w14:textFill>
        </w:rPr>
        <w:t>封面</w:t>
      </w:r>
      <w:bookmarkEnd w:id="70"/>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32"/>
          <w:szCs w:val="32"/>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32"/>
          <w:szCs w:val="32"/>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32"/>
          <w:szCs w:val="32"/>
          <w14:textFill>
            <w14:solidFill>
              <w14:schemeClr w14:val="tx1"/>
            </w14:solidFill>
          </w14:textFill>
        </w:rPr>
      </w:pPr>
    </w:p>
    <w:p>
      <w:pPr>
        <w:pStyle w:val="41"/>
        <w:autoSpaceDE w:val="0"/>
        <w:autoSpaceDN w:val="0"/>
        <w:adjustRightInd w:val="0"/>
        <w:jc w:val="center"/>
        <w:rPr>
          <w:rFonts w:hint="eastAsia" w:asciiTheme="minorEastAsia" w:hAnsiTheme="minorEastAsia" w:eastAsiaTheme="minorEastAsia" w:cstheme="minorEastAsia"/>
          <w:color w:val="000000" w:themeColor="text1"/>
          <w:kern w:val="0"/>
          <w:sz w:val="44"/>
          <w:szCs w:val="44"/>
          <w:u w:val="single"/>
          <w14:textFill>
            <w14:solidFill>
              <w14:schemeClr w14:val="tx1"/>
            </w14:solidFill>
          </w14:textFill>
        </w:rPr>
      </w:pPr>
      <w:r>
        <w:rPr>
          <w:rFonts w:hint="eastAsia" w:asciiTheme="minorEastAsia" w:hAnsiTheme="minorEastAsia" w:eastAsiaTheme="minorEastAsia" w:cstheme="minorEastAsia"/>
          <w:color w:val="000000" w:themeColor="text1"/>
          <w:kern w:val="0"/>
          <w:sz w:val="44"/>
          <w:szCs w:val="44"/>
          <w:u w:val="single"/>
          <w14:textFill>
            <w14:solidFill>
              <w14:schemeClr w14:val="tx1"/>
            </w14:solidFill>
          </w14:textFill>
        </w:rPr>
        <w:t>（  项 目 名 称  ）</w:t>
      </w:r>
    </w:p>
    <w:p>
      <w:pPr>
        <w:pStyle w:val="41"/>
        <w:autoSpaceDE w:val="0"/>
        <w:autoSpaceDN w:val="0"/>
        <w:adjustRightInd w:val="0"/>
        <w:jc w:val="center"/>
        <w:rPr>
          <w:rFonts w:hint="eastAsia" w:asciiTheme="minorEastAsia" w:hAnsiTheme="minorEastAsia" w:eastAsiaTheme="minorEastAsia" w:cstheme="minorEastAsia"/>
          <w:color w:val="000000" w:themeColor="text1"/>
          <w:kern w:val="0"/>
          <w:sz w:val="52"/>
          <w:szCs w:val="52"/>
          <w14:textFill>
            <w14:solidFill>
              <w14:schemeClr w14:val="tx1"/>
            </w14:solidFill>
          </w14:textFill>
        </w:rPr>
      </w:pPr>
    </w:p>
    <w:p>
      <w:pPr>
        <w:pStyle w:val="41"/>
        <w:autoSpaceDE w:val="0"/>
        <w:autoSpaceDN w:val="0"/>
        <w:adjustRightInd w:val="0"/>
        <w:jc w:val="center"/>
        <w:rPr>
          <w:rFonts w:hint="eastAsia" w:asciiTheme="minorEastAsia" w:hAnsiTheme="minorEastAsia" w:eastAsiaTheme="minorEastAsia" w:cstheme="minorEastAsia"/>
          <w:color w:val="000000" w:themeColor="text1"/>
          <w:kern w:val="0"/>
          <w:sz w:val="72"/>
          <w:szCs w:val="72"/>
          <w14:textFill>
            <w14:solidFill>
              <w14:schemeClr w14:val="tx1"/>
            </w14:solidFill>
          </w14:textFill>
        </w:rPr>
      </w:pPr>
      <w:r>
        <w:rPr>
          <w:rFonts w:hint="eastAsia" w:asciiTheme="minorEastAsia" w:hAnsiTheme="minorEastAsia" w:eastAsiaTheme="minorEastAsia" w:cstheme="minorEastAsia"/>
          <w:color w:val="000000" w:themeColor="text1"/>
          <w:kern w:val="0"/>
          <w:sz w:val="72"/>
          <w:szCs w:val="72"/>
          <w14:textFill>
            <w14:solidFill>
              <w14:schemeClr w14:val="tx1"/>
            </w14:solidFill>
          </w14:textFill>
        </w:rPr>
        <w:t>投 标 文 件</w:t>
      </w: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jc w:val="left"/>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p>
    <w:p>
      <w:pPr>
        <w:pStyle w:val="41"/>
        <w:autoSpaceDE w:val="0"/>
        <w:autoSpaceDN w:val="0"/>
        <w:adjustRightInd w:val="0"/>
        <w:ind w:firstLine="2520" w:firstLineChars="900"/>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stheme="minorEastAsia"/>
          <w:color w:val="000000" w:themeColor="text1"/>
          <w:kern w:val="0"/>
          <w:sz w:val="28"/>
          <w:szCs w:val="28"/>
          <w14:textFill>
            <w14:solidFill>
              <w14:schemeClr w14:val="tx1"/>
            </w14:solidFill>
          </w14:textFill>
        </w:rPr>
        <w:t>投标人： （盖章）</w:t>
      </w:r>
    </w:p>
    <w:p>
      <w:pPr>
        <w:pStyle w:val="41"/>
        <w:autoSpaceDE w:val="0"/>
        <w:autoSpaceDN w:val="0"/>
        <w:adjustRightInd w:val="0"/>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stheme="minorEastAsia"/>
          <w:color w:val="000000" w:themeColor="text1"/>
          <w:kern w:val="0"/>
          <w:sz w:val="28"/>
          <w:szCs w:val="28"/>
          <w14:textFill>
            <w14:solidFill>
              <w14:schemeClr w14:val="tx1"/>
            </w14:solidFill>
          </w14:textFill>
        </w:rPr>
        <w:t xml:space="preserve">                  法定代表人： （签字或盖章）</w:t>
      </w:r>
    </w:p>
    <w:p>
      <w:pPr>
        <w:pStyle w:val="41"/>
        <w:autoSpaceDE w:val="0"/>
        <w:autoSpaceDN w:val="0"/>
        <w:adjustRightInd w:val="0"/>
        <w:ind w:firstLine="3080" w:firstLineChars="1100"/>
        <w:rPr>
          <w:rFonts w:hint="eastAsia" w:asciiTheme="minorEastAsia" w:hAnsiTheme="minorEastAsia" w:eastAsiaTheme="minorEastAsia" w:cstheme="minorEastAsia"/>
          <w:color w:val="000000" w:themeColor="text1"/>
          <w:kern w:val="0"/>
          <w:sz w:val="28"/>
          <w:szCs w:val="28"/>
          <w14:textFill>
            <w14:solidFill>
              <w14:schemeClr w14:val="tx1"/>
            </w14:solidFill>
          </w14:textFill>
        </w:rPr>
      </w:pPr>
      <w:r>
        <w:rPr>
          <w:rFonts w:hint="eastAsia" w:asciiTheme="minorEastAsia" w:hAnsiTheme="minorEastAsia" w:eastAsiaTheme="minorEastAsia" w:cstheme="minorEastAsia"/>
          <w:color w:val="000000" w:themeColor="text1"/>
          <w:kern w:val="0"/>
          <w:sz w:val="28"/>
          <w:szCs w:val="28"/>
          <w14:textFill>
            <w14:solidFill>
              <w14:schemeClr w14:val="tx1"/>
            </w14:solidFill>
          </w14:textFill>
        </w:rPr>
        <w:t>年    月    日</w:t>
      </w:r>
    </w:p>
    <w:p>
      <w:pPr>
        <w:widowControl w:val="0"/>
        <w:rPr>
          <w:rFonts w:hint="eastAsia" w:asciiTheme="minorEastAsia" w:hAnsiTheme="minorEastAsia" w:eastAsiaTheme="minorEastAsia" w:cstheme="minorEastAsia"/>
          <w:color w:val="000000" w:themeColor="text1"/>
          <w14:textFill>
            <w14:solidFill>
              <w14:schemeClr w14:val="tx1"/>
            </w14:solidFill>
          </w14:textFill>
        </w:rPr>
      </w:pPr>
    </w:p>
    <w:p>
      <w:pPr>
        <w:pStyle w:val="42"/>
        <w:widowControl w:val="0"/>
        <w:jc w:val="center"/>
        <w:outlineLvl w:val="1"/>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br w:type="page"/>
      </w:r>
      <w:bookmarkStart w:id="71" w:name="_Toc256000018"/>
      <w:r>
        <w:rPr>
          <w:rFonts w:hint="eastAsia" w:asciiTheme="minorEastAsia" w:hAnsiTheme="minorEastAsia" w:eastAsiaTheme="minorEastAsia" w:cstheme="minorEastAsia"/>
          <w:color w:val="000000" w:themeColor="text1"/>
          <w14:textFill>
            <w14:solidFill>
              <w14:schemeClr w14:val="tx1"/>
            </w14:solidFill>
          </w14:textFill>
        </w:rPr>
        <w:t>目录</w:t>
      </w:r>
      <w:bookmarkEnd w:id="71"/>
    </w:p>
    <w:p>
      <w:pPr>
        <w:widowControl w:val="0"/>
        <w:rPr>
          <w:rFonts w:hint="eastAsia" w:asciiTheme="minorEastAsia" w:hAnsiTheme="minorEastAsia" w:eastAsiaTheme="minorEastAsia" w:cstheme="minorEastAsia"/>
          <w:color w:val="000000" w:themeColor="text1"/>
          <w14:textFill>
            <w14:solidFill>
              <w14:schemeClr w14:val="tx1"/>
            </w14:solidFill>
          </w14:textFill>
        </w:rPr>
      </w:pPr>
    </w:p>
    <w:p>
      <w:pPr>
        <w:widowControl w:val="0"/>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（投标人自行编制目录）</w:t>
      </w:r>
    </w:p>
    <w:p>
      <w:pPr>
        <w:pStyle w:val="43"/>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br w:type="page"/>
      </w:r>
      <w:bookmarkStart w:id="72" w:name="_Toc256000019"/>
      <w:r>
        <w:rPr>
          <w:rFonts w:hint="eastAsia" w:asciiTheme="minorEastAsia" w:hAnsiTheme="minorEastAsia" w:eastAsiaTheme="minorEastAsia" w:cstheme="minorEastAsia"/>
          <w:color w:val="000000" w:themeColor="text1"/>
          <w14:textFill>
            <w14:solidFill>
              <w14:schemeClr w14:val="tx1"/>
            </w14:solidFill>
          </w14:textFill>
        </w:rPr>
        <w:t>一、投标人基本情况</w:t>
      </w:r>
      <w:bookmarkEnd w:id="72"/>
    </w:p>
    <w:p>
      <w:pPr>
        <w:pStyle w:val="44"/>
        <w:jc w:val="center"/>
        <w:rPr>
          <w:rFonts w:hint="eastAsia" w:asciiTheme="minorEastAsia" w:hAnsiTheme="minorEastAsia" w:eastAsiaTheme="minorEastAsia" w:cstheme="minorEastAsia"/>
          <w:color w:val="000000" w:themeColor="text1"/>
          <w:sz w:val="44"/>
          <w:szCs w:val="44"/>
          <w14:textFill>
            <w14:solidFill>
              <w14:schemeClr w14:val="tx1"/>
            </w14:solidFill>
          </w14:textFill>
        </w:rPr>
      </w:pPr>
      <w:r>
        <w:rPr>
          <w:rFonts w:hint="eastAsia" w:asciiTheme="minorEastAsia" w:hAnsiTheme="minorEastAsia" w:eastAsiaTheme="minorEastAsia" w:cstheme="minorEastAsia"/>
          <w:color w:val="000000" w:themeColor="text1"/>
          <w:sz w:val="44"/>
          <w:szCs w:val="44"/>
          <w14:textFill>
            <w14:solidFill>
              <w14:schemeClr w14:val="tx1"/>
            </w14:solidFill>
          </w14:textFill>
        </w:rPr>
        <w:t>投标人基本情况表</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118"/>
        <w:gridCol w:w="1276"/>
        <w:gridCol w:w="2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投标人名称</w:t>
            </w:r>
          </w:p>
        </w:tc>
        <w:tc>
          <w:tcPr>
            <w:tcW w:w="6998" w:type="dxa"/>
            <w:gridSpan w:val="3"/>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w:t>
            </w:r>
          </w:p>
        </w:tc>
        <w:tc>
          <w:tcPr>
            <w:tcW w:w="3118"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7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注册地区</w:t>
            </w:r>
          </w:p>
        </w:tc>
        <w:tc>
          <w:tcPr>
            <w:tcW w:w="2604"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地址</w:t>
            </w:r>
          </w:p>
        </w:tc>
        <w:tc>
          <w:tcPr>
            <w:tcW w:w="3118"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7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邮政编码</w:t>
            </w:r>
          </w:p>
        </w:tc>
        <w:tc>
          <w:tcPr>
            <w:tcW w:w="2604"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成立时间</w:t>
            </w:r>
          </w:p>
        </w:tc>
        <w:tc>
          <w:tcPr>
            <w:tcW w:w="3118"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7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单位性质</w:t>
            </w:r>
          </w:p>
        </w:tc>
        <w:tc>
          <w:tcPr>
            <w:tcW w:w="2604"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注册号或社会信用代码</w:t>
            </w:r>
          </w:p>
        </w:tc>
        <w:tc>
          <w:tcPr>
            <w:tcW w:w="3118"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7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注册资本（万元）</w:t>
            </w:r>
          </w:p>
        </w:tc>
        <w:tc>
          <w:tcPr>
            <w:tcW w:w="2604"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供应商类别</w:t>
            </w:r>
          </w:p>
        </w:tc>
        <w:tc>
          <w:tcPr>
            <w:tcW w:w="6998" w:type="dxa"/>
            <w:gridSpan w:val="3"/>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开户银行</w:t>
            </w:r>
          </w:p>
        </w:tc>
        <w:tc>
          <w:tcPr>
            <w:tcW w:w="3118"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7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账号</w:t>
            </w:r>
          </w:p>
        </w:tc>
        <w:tc>
          <w:tcPr>
            <w:tcW w:w="2604"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p>
        </w:tc>
        <w:tc>
          <w:tcPr>
            <w:tcW w:w="3118"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76"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p>
        </w:tc>
        <w:tc>
          <w:tcPr>
            <w:tcW w:w="2604" w:type="dxa"/>
            <w:noWrap w:val="0"/>
            <w:vAlign w:val="center"/>
          </w:tcPr>
          <w:p>
            <w:pPr>
              <w:pStyle w:val="44"/>
              <w:spacing w:line="6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6" w:hRule="atLeast"/>
          <w:jc w:val="center"/>
        </w:trPr>
        <w:tc>
          <w:tcPr>
            <w:tcW w:w="1526" w:type="dxa"/>
            <w:noWrap w:val="0"/>
            <w:vAlign w:val="center"/>
          </w:tcPr>
          <w:p>
            <w:pPr>
              <w:pStyle w:val="44"/>
              <w:spacing w:line="56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经营范围</w:t>
            </w:r>
          </w:p>
        </w:tc>
        <w:tc>
          <w:tcPr>
            <w:tcW w:w="6998" w:type="dxa"/>
            <w:gridSpan w:val="3"/>
            <w:noWrap w:val="0"/>
            <w:vAlign w:val="top"/>
          </w:tcPr>
          <w:p>
            <w:pPr>
              <w:pStyle w:val="44"/>
              <w:spacing w:line="560" w:lineRule="exact"/>
              <w:ind w:firstLine="1432" w:firstLineChars="597"/>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526" w:type="dxa"/>
            <w:noWrap w:val="0"/>
            <w:vAlign w:val="center"/>
          </w:tcPr>
          <w:p>
            <w:pPr>
              <w:pStyle w:val="44"/>
              <w:spacing w:line="56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备注</w:t>
            </w:r>
          </w:p>
        </w:tc>
        <w:tc>
          <w:tcPr>
            <w:tcW w:w="6998" w:type="dxa"/>
            <w:gridSpan w:val="3"/>
            <w:noWrap w:val="0"/>
            <w:vAlign w:val="center"/>
          </w:tcPr>
          <w:p>
            <w:pPr>
              <w:pStyle w:val="44"/>
              <w:spacing w:line="500" w:lineRule="exact"/>
              <w:jc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bl>
    <w:p>
      <w:pPr>
        <w:pStyle w:val="44"/>
        <w:spacing w:line="560" w:lineRule="exact"/>
        <w:jc w:val="center"/>
        <w:rPr>
          <w:rFonts w:hint="eastAsia" w:asciiTheme="minorEastAsia" w:hAnsiTheme="minorEastAsia" w:eastAsiaTheme="minorEastAsia" w:cstheme="minorEastAsia"/>
          <w:bCs/>
          <w:color w:val="000000" w:themeColor="text1"/>
          <w:sz w:val="32"/>
          <w:szCs w:val="32"/>
          <w14:textFill>
            <w14:solidFill>
              <w14:schemeClr w14:val="tx1"/>
            </w14:solidFill>
          </w14:textFill>
        </w:rPr>
      </w:pPr>
    </w:p>
    <w:p>
      <w:pPr>
        <w:pStyle w:val="45"/>
        <w:widowControl w:val="0"/>
        <w:outlineLvl w:val="1"/>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br w:type="page"/>
      </w:r>
      <w:bookmarkStart w:id="73" w:name="_Toc256000020"/>
      <w:r>
        <w:rPr>
          <w:rFonts w:hint="eastAsia" w:asciiTheme="minorEastAsia" w:hAnsiTheme="minorEastAsia" w:eastAsiaTheme="minorEastAsia" w:cstheme="minorEastAsia"/>
          <w:color w:val="000000" w:themeColor="text1"/>
          <w14:textFill>
            <w14:solidFill>
              <w14:schemeClr w14:val="tx1"/>
            </w14:solidFill>
          </w14:textFill>
        </w:rPr>
        <w:t>二、投标人</w:t>
      </w:r>
      <w:bookmarkEnd w:id="73"/>
      <w:r>
        <w:rPr>
          <w:rFonts w:hint="eastAsia" w:asciiTheme="minorEastAsia" w:hAnsiTheme="minorEastAsia" w:eastAsiaTheme="minorEastAsia" w:cstheme="minorEastAsia"/>
          <w:color w:val="000000" w:themeColor="text1"/>
          <w:lang w:eastAsia="zh-CN"/>
          <w14:textFill>
            <w14:solidFill>
              <w14:schemeClr w14:val="tx1"/>
            </w14:solidFill>
          </w14:textFill>
        </w:rPr>
        <w:t>营业执照等材料</w:t>
      </w:r>
    </w:p>
    <w:p>
      <w:pPr>
        <w:pStyle w:val="46"/>
        <w:jc w:val="center"/>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相关证明材料复印件</w:t>
      </w:r>
    </w:p>
    <w:p>
      <w:pPr>
        <w:widowControl w:val="0"/>
        <w:spacing w:line="560" w:lineRule="exact"/>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13"/>
        <w:widowControl w:val="0"/>
        <w:ind w:left="420" w:firstLine="602"/>
        <w:rPr>
          <w:rFonts w:hint="eastAsia" w:asciiTheme="minorEastAsia" w:hAnsiTheme="minorEastAsia" w:eastAsiaTheme="minorEastAsia" w:cstheme="minorEastAsia"/>
          <w:b/>
          <w:color w:val="000000" w:themeColor="text1"/>
          <w:sz w:val="30"/>
          <w14:textFill>
            <w14:solidFill>
              <w14:schemeClr w14:val="tx1"/>
            </w14:solidFill>
          </w14:textFill>
        </w:rPr>
      </w:pPr>
    </w:p>
    <w:p>
      <w:pPr>
        <w:pStyle w:val="49"/>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74" w:name="_Toc256000023"/>
      <w:r>
        <w:rPr>
          <w:rFonts w:hint="eastAsia" w:asciiTheme="minorEastAsia" w:hAnsiTheme="minorEastAsia" w:eastAsiaTheme="minorEastAsia" w:cstheme="minorEastAsia"/>
          <w:color w:val="000000" w:themeColor="text1"/>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14:textFill>
            <w14:solidFill>
              <w14:schemeClr w14:val="tx1"/>
            </w14:solidFill>
          </w14:textFill>
        </w:rPr>
        <w:t>、法定代表人授权委托书</w:t>
      </w:r>
      <w:bookmarkEnd w:id="74"/>
    </w:p>
    <w:p>
      <w:pPr>
        <w:pStyle w:val="50"/>
        <w:spacing w:line="600" w:lineRule="exact"/>
        <w:rPr>
          <w:rFonts w:hint="eastAsia" w:asciiTheme="minorEastAsia" w:hAnsiTheme="minorEastAsia" w:eastAsiaTheme="minorEastAsia" w:cstheme="minorEastAsia"/>
          <w:color w:val="000000" w:themeColor="text1"/>
          <w:sz w:val="32"/>
          <w14:textFill>
            <w14:solidFill>
              <w14:schemeClr w14:val="tx1"/>
            </w14:solidFill>
          </w14:textFill>
        </w:rPr>
      </w:pPr>
    </w:p>
    <w:p>
      <w:pPr>
        <w:pStyle w:val="51"/>
        <w:spacing w:line="480" w:lineRule="auto"/>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u w:val="single"/>
          <w14:textFill>
            <w14:solidFill>
              <w14:schemeClr w14:val="tx1"/>
            </w14:solidFill>
          </w14:textFill>
        </w:rPr>
        <w:t>（采购人名称）</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pStyle w:val="51"/>
        <w:spacing w:line="480" w:lineRule="auto"/>
        <w:ind w:firstLine="480" w:firstLineChars="200"/>
        <w:rPr>
          <w:rFonts w:hint="eastAsia" w:asciiTheme="minorEastAsia" w:hAnsiTheme="minorEastAsia" w:eastAsiaTheme="minorEastAsia" w:cstheme="minorEastAsia"/>
          <w:color w:val="000000" w:themeColor="text1"/>
          <w:sz w:val="32"/>
          <w:szCs w:val="32"/>
          <w:u w:val="single"/>
          <w14:textFill>
            <w14:solidFill>
              <w14:schemeClr w14:val="tx1"/>
            </w14:solidFill>
          </w14:textFill>
        </w:rPr>
      </w:pP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u w:val="single"/>
          <w:lang w:val="en-US" w:eastAsia="zh-CN"/>
          <w14:textFill>
            <w14:solidFill>
              <w14:schemeClr w14:val="tx1"/>
            </w14:solidFill>
          </w14:textFill>
        </w:rPr>
        <w:t>投标</w:t>
      </w:r>
      <w:r>
        <w:rPr>
          <w:rFonts w:hint="eastAsia" w:asciiTheme="minorEastAsia" w:hAnsiTheme="minorEastAsia" w:eastAsiaTheme="minorEastAsia" w:cstheme="minorEastAsia"/>
          <w:color w:val="000000" w:themeColor="text1"/>
          <w:sz w:val="24"/>
          <w:u w:val="single"/>
          <w14:textFill>
            <w14:solidFill>
              <w14:schemeClr w14:val="tx1"/>
            </w14:solidFill>
          </w14:textFill>
        </w:rPr>
        <w:t>单位名称）</w:t>
      </w:r>
      <w:r>
        <w:rPr>
          <w:rFonts w:hint="eastAsia" w:asciiTheme="minorEastAsia" w:hAnsiTheme="minorEastAsia" w:eastAsiaTheme="minorEastAsia" w:cstheme="minorEastAsia"/>
          <w:color w:val="000000" w:themeColor="text1"/>
          <w:sz w:val="24"/>
          <w14:textFill>
            <w14:solidFill>
              <w14:schemeClr w14:val="tx1"/>
            </w14:solidFill>
          </w14:textFill>
        </w:rPr>
        <w:t>法定代表人</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（姓名）</w:t>
      </w:r>
      <w:r>
        <w:rPr>
          <w:rFonts w:hint="eastAsia" w:asciiTheme="minorEastAsia" w:hAnsiTheme="minorEastAsia" w:eastAsiaTheme="minorEastAsia" w:cstheme="minorEastAsia"/>
          <w:color w:val="000000" w:themeColor="text1"/>
          <w:sz w:val="24"/>
          <w14:textFill>
            <w14:solidFill>
              <w14:schemeClr w14:val="tx1"/>
            </w14:solidFill>
          </w14:textFill>
        </w:rPr>
        <w:t xml:space="preserve">，法定代表人身份证号： </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，授权我单位</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（职务或职称）</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（姓名），身份证号：</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，为我单位本次授权代理人，全权处理此次</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（项目名称）</w:t>
      </w:r>
      <w:r>
        <w:rPr>
          <w:rFonts w:hint="eastAsia" w:asciiTheme="minorEastAsia" w:hAnsiTheme="minorEastAsia" w:eastAsiaTheme="minorEastAsia" w:cstheme="minorEastAsia"/>
          <w:color w:val="000000" w:themeColor="text1"/>
          <w:kern w:val="10"/>
          <w:sz w:val="24"/>
          <w14:textFill>
            <w14:solidFill>
              <w14:schemeClr w14:val="tx1"/>
            </w14:solidFill>
          </w14:textFill>
        </w:rPr>
        <w:t>公开招标</w:t>
      </w:r>
      <w:r>
        <w:rPr>
          <w:rFonts w:hint="eastAsia" w:asciiTheme="minorEastAsia" w:hAnsiTheme="minorEastAsia" w:eastAsiaTheme="minorEastAsia" w:cstheme="minorEastAsia"/>
          <w:color w:val="000000" w:themeColor="text1"/>
          <w:sz w:val="24"/>
          <w14:textFill>
            <w14:solidFill>
              <w14:schemeClr w14:val="tx1"/>
            </w14:solidFill>
          </w14:textFill>
        </w:rPr>
        <w:t>活动的一切事宜。</w:t>
      </w:r>
    </w:p>
    <w:p>
      <w:pPr>
        <w:pStyle w:val="50"/>
        <w:spacing w:line="600" w:lineRule="exact"/>
        <w:ind w:firstLine="63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特此授权。</w:t>
      </w:r>
    </w:p>
    <w:p>
      <w:pPr>
        <w:pStyle w:val="52"/>
        <w:spacing w:line="600" w:lineRule="exact"/>
        <w:ind w:firstLine="630"/>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（附法</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定代表</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人和授权人身份证复印件并加盖公章）</w:t>
      </w:r>
    </w:p>
    <w:p>
      <w:pPr>
        <w:pStyle w:val="52"/>
        <w:spacing w:line="600" w:lineRule="exact"/>
        <w:ind w:firstLine="630"/>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pStyle w:val="50"/>
        <w:spacing w:line="700" w:lineRule="exact"/>
        <w:ind w:firstLine="629"/>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单位名称：</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（盖章）</w:t>
      </w:r>
    </w:p>
    <w:p>
      <w:pPr>
        <w:pStyle w:val="50"/>
        <w:spacing w:line="700" w:lineRule="exact"/>
        <w:ind w:firstLine="629"/>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法定代表人：</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（签字或盖章）</w:t>
      </w:r>
    </w:p>
    <w:p>
      <w:pPr>
        <w:pStyle w:val="50"/>
        <w:spacing w:line="700" w:lineRule="exact"/>
        <w:ind w:firstLine="629"/>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授权代理人：</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（签字）</w:t>
      </w:r>
    </w:p>
    <w:p>
      <w:pPr>
        <w:pStyle w:val="50"/>
        <w:spacing w:line="700" w:lineRule="exact"/>
        <w:ind w:firstLine="629"/>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年</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月</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日</w:t>
      </w:r>
    </w:p>
    <w:p>
      <w:pPr>
        <w:pStyle w:val="53"/>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br w:type="page"/>
      </w:r>
      <w:bookmarkStart w:id="75" w:name="_Toc256000024"/>
      <w:r>
        <w:rPr>
          <w:rFonts w:hint="eastAsia" w:asciiTheme="minorEastAsia" w:hAnsiTheme="minorEastAsia" w:eastAsiaTheme="minorEastAsia" w:cstheme="minorEastAsia"/>
          <w:color w:val="000000" w:themeColor="text1"/>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14:textFill>
            <w14:solidFill>
              <w14:schemeClr w14:val="tx1"/>
            </w14:solidFill>
          </w14:textFill>
        </w:rPr>
        <w:t>、开标一览表</w:t>
      </w:r>
      <w:bookmarkEnd w:id="75"/>
    </w:p>
    <w:p>
      <w:pPr>
        <w:pStyle w:val="54"/>
        <w:widowControl w:val="0"/>
        <w:spacing w:line="480" w:lineRule="auto"/>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项目编号：</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 xml:space="preserve"> </w:t>
      </w:r>
    </w:p>
    <w:p>
      <w:pPr>
        <w:pStyle w:val="54"/>
        <w:widowControl w:val="0"/>
        <w:spacing w:line="480" w:lineRule="auto"/>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项目名称：</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 xml:space="preserve"> </w:t>
      </w:r>
    </w:p>
    <w:p>
      <w:pPr>
        <w:pStyle w:val="54"/>
        <w:widowControl w:val="0"/>
        <w:spacing w:line="480" w:lineRule="auto"/>
        <w:rPr>
          <w:rFonts w:hint="eastAsia" w:asciiTheme="minorEastAsia" w:hAnsiTheme="minorEastAsia" w:eastAsiaTheme="minorEastAsia" w:cstheme="minorEastAsia"/>
          <w:color w:val="000000" w:themeColor="text1"/>
          <w:lang w:eastAsia="zh-CN"/>
          <w14:textFill>
            <w14:solidFill>
              <w14:schemeClr w14:val="tx1"/>
            </w14:solidFill>
          </w14:textFill>
        </w:rPr>
      </w:pPr>
    </w:p>
    <w:tbl>
      <w:tblPr>
        <w:tblStyle w:val="14"/>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6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3085" w:type="dxa"/>
            <w:noWrap w:val="0"/>
            <w:vAlign w:val="center"/>
          </w:tcPr>
          <w:p>
            <w:pPr>
              <w:pStyle w:val="54"/>
              <w:widowControl w:val="0"/>
              <w:spacing w:line="480" w:lineRule="auto"/>
              <w:jc w:val="center"/>
              <w:rPr>
                <w:rFonts w:hint="eastAsia" w:asciiTheme="minorEastAsia" w:hAnsiTheme="minorEastAsia" w:eastAsiaTheme="minorEastAsia" w:cstheme="minorEastAsia"/>
                <w:b/>
                <w:color w:val="000000" w:themeColor="text1"/>
                <w:lang w:eastAsia="zh-CN"/>
                <w14:textFill>
                  <w14:solidFill>
                    <w14:schemeClr w14:val="tx1"/>
                  </w14:solidFill>
                </w14:textFill>
              </w:rPr>
            </w:pPr>
            <w:r>
              <w:rPr>
                <w:rFonts w:hint="eastAsia" w:asciiTheme="minorEastAsia" w:hAnsiTheme="minorEastAsia" w:eastAsiaTheme="minorEastAsia" w:cstheme="minorEastAsia"/>
                <w:b/>
                <w:color w:val="000000" w:themeColor="text1"/>
                <w:lang w:eastAsia="zh-CN"/>
                <w14:textFill>
                  <w14:solidFill>
                    <w14:schemeClr w14:val="tx1"/>
                  </w14:solidFill>
                </w14:textFill>
              </w:rPr>
              <w:t>标题</w:t>
            </w:r>
          </w:p>
        </w:tc>
        <w:tc>
          <w:tcPr>
            <w:tcW w:w="6315" w:type="dxa"/>
            <w:noWrap w:val="0"/>
            <w:vAlign w:val="center"/>
          </w:tcPr>
          <w:p>
            <w:pPr>
              <w:pStyle w:val="54"/>
              <w:widowControl w:val="0"/>
              <w:spacing w:line="480" w:lineRule="auto"/>
              <w:jc w:val="center"/>
              <w:rPr>
                <w:rFonts w:hint="eastAsia" w:asciiTheme="minorEastAsia" w:hAnsiTheme="minorEastAsia" w:eastAsiaTheme="minorEastAsia" w:cstheme="minorEastAsia"/>
                <w:b/>
                <w:color w:val="000000" w:themeColor="text1"/>
                <w:lang w:eastAsia="zh-CN"/>
                <w14:textFill>
                  <w14:solidFill>
                    <w14:schemeClr w14:val="tx1"/>
                  </w14:solidFill>
                </w14:textFill>
              </w:rPr>
            </w:pPr>
            <w:r>
              <w:rPr>
                <w:rFonts w:hint="eastAsia" w:asciiTheme="minorEastAsia" w:hAnsiTheme="minorEastAsia" w:eastAsiaTheme="minorEastAsia" w:cstheme="minorEastAsia"/>
                <w:b/>
                <w:color w:val="000000" w:themeColor="text1"/>
                <w:lang w:eastAsia="zh-CN"/>
                <w14:textFill>
                  <w14:solidFill>
                    <w14:schemeClr w14:val="tx1"/>
                  </w14:solidFill>
                </w14:textFill>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noWrap w:val="0"/>
            <w:vAlign w:val="center"/>
          </w:tcPr>
          <w:p>
            <w:pPr>
              <w:pStyle w:val="54"/>
              <w:widowControl w:val="0"/>
              <w:spacing w:line="480" w:lineRule="auto"/>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投标报价（</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含税</w:t>
            </w:r>
            <w:r>
              <w:rPr>
                <w:rFonts w:hint="eastAsia" w:asciiTheme="minorEastAsia" w:hAnsiTheme="minorEastAsia" w:eastAsiaTheme="minorEastAsia" w:cstheme="minorEastAsia"/>
                <w:color w:val="000000" w:themeColor="text1"/>
                <w:lang w:eastAsia="zh-CN"/>
                <w14:textFill>
                  <w14:solidFill>
                    <w14:schemeClr w14:val="tx1"/>
                  </w14:solidFill>
                </w14:textFill>
              </w:rPr>
              <w:t>）</w:t>
            </w:r>
          </w:p>
        </w:tc>
        <w:tc>
          <w:tcPr>
            <w:tcW w:w="6315" w:type="dxa"/>
            <w:noWrap w:val="0"/>
            <w:vAlign w:val="center"/>
          </w:tcPr>
          <w:p>
            <w:pPr>
              <w:pStyle w:val="54"/>
              <w:widowControl w:val="0"/>
              <w:spacing w:line="480" w:lineRule="auto"/>
              <w:ind w:firstLine="1920" w:firstLineChars="800"/>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noWrap w:val="0"/>
            <w:vAlign w:val="center"/>
          </w:tcPr>
          <w:p>
            <w:pPr>
              <w:widowControl w:val="0"/>
              <w:spacing w:line="520" w:lineRule="exact"/>
              <w:jc w:val="center"/>
              <w:rPr>
                <w:rFonts w:hint="eastAsia" w:asciiTheme="minorEastAsia" w:hAnsiTheme="minorEastAsia" w:eastAsiaTheme="minorEastAsia" w:cstheme="minorEastAsia"/>
                <w:color w:val="000000" w:themeColor="text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合同履行期限</w:t>
            </w:r>
          </w:p>
        </w:tc>
        <w:tc>
          <w:tcPr>
            <w:tcW w:w="6315" w:type="dxa"/>
            <w:noWrap w:val="0"/>
            <w:vAlign w:val="center"/>
          </w:tcPr>
          <w:p>
            <w:pPr>
              <w:pStyle w:val="54"/>
              <w:widowControl w:val="0"/>
              <w:spacing w:line="480" w:lineRule="auto"/>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合同签订生效后</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14:textFill>
                  <w14:solidFill>
                    <w14:schemeClr w14:val="tx1"/>
                  </w14:solidFill>
                </w14:textFill>
              </w:rPr>
              <w:t>个日历天内完成供货，开始供货并在招标人发出安装通知指令后</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14:textFill>
                  <w14:solidFill>
                    <w14:schemeClr w14:val="tx1"/>
                  </w14:solidFill>
                </w14:textFill>
              </w:rPr>
              <w:t>个日历天内完成安装调试达到生产条件。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noWrap w:val="0"/>
            <w:vAlign w:val="center"/>
          </w:tcPr>
          <w:p>
            <w:pPr>
              <w:pStyle w:val="54"/>
              <w:widowControl w:val="0"/>
              <w:spacing w:line="480" w:lineRule="auto"/>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质保期</w:t>
            </w:r>
          </w:p>
        </w:tc>
        <w:tc>
          <w:tcPr>
            <w:tcW w:w="6315" w:type="dxa"/>
            <w:noWrap w:val="0"/>
            <w:vAlign w:val="center"/>
          </w:tcPr>
          <w:p>
            <w:pPr>
              <w:pStyle w:val="54"/>
              <w:widowControl w:val="0"/>
              <w:spacing w:line="480" w:lineRule="auto"/>
              <w:ind w:firstLine="1200" w:firstLineChars="500"/>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14:textFill>
                  <w14:solidFill>
                    <w14:schemeClr w14:val="tx1"/>
                  </w14:solidFill>
                </w14:textFill>
              </w:rPr>
              <w:t>年</w:t>
            </w:r>
          </w:p>
        </w:tc>
      </w:tr>
    </w:tbl>
    <w:p>
      <w:pPr>
        <w:pStyle w:val="54"/>
        <w:widowControl w:val="0"/>
        <w:spacing w:line="480" w:lineRule="auto"/>
        <w:rPr>
          <w:rFonts w:hint="eastAsia" w:asciiTheme="minorEastAsia" w:hAnsiTheme="minorEastAsia" w:eastAsiaTheme="minorEastAsia" w:cstheme="minorEastAsia"/>
          <w:color w:val="000000" w:themeColor="text1"/>
          <w:lang w:eastAsia="zh-CN"/>
          <w14:textFill>
            <w14:solidFill>
              <w14:schemeClr w14:val="tx1"/>
            </w14:solidFill>
          </w14:textFill>
        </w:rPr>
      </w:pPr>
    </w:p>
    <w:p>
      <w:pPr>
        <w:pStyle w:val="55"/>
        <w:widowControl w:val="0"/>
        <w:spacing w:line="480" w:lineRule="auto"/>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 xml:space="preserve"> </w:t>
      </w:r>
    </w:p>
    <w:p>
      <w:pPr>
        <w:pStyle w:val="56"/>
        <w:widowControl w:val="0"/>
        <w:spacing w:line="480" w:lineRule="auto"/>
        <w:rPr>
          <w:rFonts w:hint="eastAsia" w:asciiTheme="minorEastAsia" w:hAnsiTheme="minorEastAsia" w:eastAsiaTheme="minorEastAsia" w:cstheme="minorEastAsia"/>
          <w:color w:val="000000" w:themeColor="text1"/>
          <w14:textFill>
            <w14:solidFill>
              <w14:schemeClr w14:val="tx1"/>
            </w14:solidFill>
          </w14:textFill>
        </w:rPr>
      </w:pPr>
    </w:p>
    <w:p>
      <w:pPr>
        <w:pStyle w:val="50"/>
        <w:spacing w:line="480" w:lineRule="auto"/>
        <w:ind w:firstLine="2544" w:firstLineChars="1060"/>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单位名称：</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（盖章）</w:t>
      </w:r>
    </w:p>
    <w:p>
      <w:pPr>
        <w:widowControl/>
        <w:shd w:val="clear" w:color="auto" w:fill="FFFFFF"/>
        <w:spacing w:line="405" w:lineRule="atLeast"/>
        <w:ind w:firstLine="3120" w:firstLineChars="1300"/>
        <w:contextualSpacing/>
        <w:rPr>
          <w:rFonts w:hint="eastAsia" w:ascii="宋体" w:hAnsi="宋体" w:eastAsia="宋体" w:cs="宋体"/>
          <w:color w:val="000000" w:themeColor="text1"/>
          <w:kern w:val="0"/>
          <w:sz w:val="24"/>
          <w:szCs w:val="24"/>
          <w:u w:val="none"/>
          <w14:textFill>
            <w14:solidFill>
              <w14:schemeClr w14:val="tx1"/>
            </w14:solidFill>
          </w14:textFill>
        </w:rPr>
      </w:pPr>
      <w:r>
        <w:rPr>
          <w:rFonts w:hint="eastAsia" w:ascii="宋体" w:hAnsi="宋体" w:eastAsia="宋体" w:cs="宋体"/>
          <w:color w:val="000000" w:themeColor="text1"/>
          <w:kern w:val="0"/>
          <w:sz w:val="24"/>
          <w:szCs w:val="24"/>
          <w:u w:val="none"/>
          <w14:textFill>
            <w14:solidFill>
              <w14:schemeClr w14:val="tx1"/>
            </w14:solidFill>
          </w14:textFill>
        </w:rPr>
        <w:t>法人或授权委托人：（签名）</w:t>
      </w:r>
    </w:p>
    <w:p>
      <w:pPr>
        <w:widowControl/>
        <w:shd w:val="clear" w:color="auto" w:fill="FFFFFF"/>
        <w:spacing w:line="405" w:lineRule="atLeast"/>
        <w:ind w:firstLine="3840" w:firstLineChars="1600"/>
        <w:contextualSpacing/>
        <w:rPr>
          <w:rFonts w:hint="default" w:ascii="宋体" w:hAnsi="宋体" w:eastAsia="宋体" w:cs="宋体"/>
          <w:color w:val="000000" w:themeColor="text1"/>
          <w:kern w:val="0"/>
          <w:sz w:val="24"/>
          <w:szCs w:val="24"/>
          <w:u w:val="none"/>
          <w:lang w:val="en-US" w:eastAsia="zh-CN"/>
          <w14:textFill>
            <w14:solidFill>
              <w14:schemeClr w14:val="tx1"/>
            </w14:solidFill>
          </w14:textFill>
        </w:rPr>
      </w:pPr>
      <w:r>
        <w:rPr>
          <w:rFonts w:hint="eastAsia" w:ascii="宋体" w:hAnsi="宋体" w:cs="宋体"/>
          <w:color w:val="000000" w:themeColor="text1"/>
          <w:kern w:val="0"/>
          <w:sz w:val="24"/>
          <w:szCs w:val="24"/>
          <w:u w:val="none"/>
          <w:lang w:val="en-US" w:eastAsia="zh-CN"/>
          <w14:textFill>
            <w14:solidFill>
              <w14:schemeClr w14:val="tx1"/>
            </w14:solidFill>
          </w14:textFill>
        </w:rPr>
        <w:t>2024年    月    日</w:t>
      </w:r>
    </w:p>
    <w:p>
      <w:pPr>
        <w:pStyle w:val="50"/>
        <w:spacing w:line="480" w:lineRule="auto"/>
        <w:ind w:firstLine="629"/>
        <w:rPr>
          <w:rFonts w:hint="eastAsia" w:asciiTheme="minorEastAsia" w:hAnsiTheme="minorEastAsia" w:eastAsiaTheme="minorEastAsia" w:cstheme="minorEastAsia"/>
          <w:color w:val="000000" w:themeColor="text1"/>
          <w:sz w:val="24"/>
          <w14:textFill>
            <w14:solidFill>
              <w14:schemeClr w14:val="tx1"/>
            </w14:solidFill>
          </w14:textFill>
        </w:rPr>
      </w:pPr>
    </w:p>
    <w:p>
      <w:pPr>
        <w:pStyle w:val="56"/>
        <w:widowControl w:val="0"/>
        <w:outlineLvl w:val="1"/>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br w:type="page"/>
      </w:r>
      <w:bookmarkStart w:id="76" w:name="_Toc256000025"/>
      <w:r>
        <w:rPr>
          <w:rFonts w:hint="eastAsia" w:asciiTheme="minorEastAsia" w:hAnsiTheme="minorEastAsia" w:eastAsiaTheme="minorEastAsia" w:cstheme="minorEastAsia"/>
          <w:color w:val="000000" w:themeColor="text1"/>
          <w:lang w:val="en-US" w:eastAsia="zh-CN"/>
          <w14:textFill>
            <w14:solidFill>
              <w14:schemeClr w14:val="tx1"/>
            </w14:solidFill>
          </w14:textFill>
        </w:rPr>
        <w:t>五</w:t>
      </w: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eastAsia="zh-CN"/>
          <w14:textFill>
            <w14:solidFill>
              <w14:schemeClr w14:val="tx1"/>
            </w14:solidFill>
          </w14:textFill>
        </w:rPr>
        <w:t>明细报价表</w:t>
      </w:r>
    </w:p>
    <w:tbl>
      <w:tblPr>
        <w:tblStyle w:val="14"/>
        <w:tblW w:w="9769" w:type="dxa"/>
        <w:tblInd w:w="0" w:type="dxa"/>
        <w:tblLayout w:type="fixed"/>
        <w:tblCellMar>
          <w:top w:w="0" w:type="dxa"/>
          <w:left w:w="108" w:type="dxa"/>
          <w:bottom w:w="0" w:type="dxa"/>
          <w:right w:w="108" w:type="dxa"/>
        </w:tblCellMar>
      </w:tblPr>
      <w:tblGrid>
        <w:gridCol w:w="720"/>
        <w:gridCol w:w="1230"/>
        <w:gridCol w:w="2167"/>
        <w:gridCol w:w="2051"/>
        <w:gridCol w:w="762"/>
        <w:gridCol w:w="831"/>
        <w:gridCol w:w="784"/>
        <w:gridCol w:w="1224"/>
      </w:tblGrid>
      <w:tr>
        <w:tblPrEx>
          <w:tblCellMar>
            <w:top w:w="0" w:type="dxa"/>
            <w:left w:w="108" w:type="dxa"/>
            <w:bottom w:w="0" w:type="dxa"/>
            <w:right w:w="108" w:type="dxa"/>
          </w:tblCellMar>
        </w:tblPrEx>
        <w:trPr>
          <w:trHeight w:val="522" w:hRule="atLeas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left="0" w:leftChars="0" w:firstLine="0" w:firstLineChars="0"/>
              <w:jc w:val="both"/>
              <w:textAlignment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t>序号</w:t>
            </w: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t>名称</w:t>
            </w: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t>品牌.型号.产地</w:t>
            </w: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bCs/>
                <w:color w:val="000000" w:themeColor="text1"/>
                <w:sz w:val="24"/>
                <w:szCs w:val="24"/>
                <w:lang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t>技术参数</w:t>
            </w: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left="0" w:leftChars="0" w:firstLine="0" w:firstLineChars="0"/>
              <w:jc w:val="center"/>
              <w:textAlignment w:val="center"/>
              <w:rPr>
                <w:rFonts w:hint="eastAsia" w:asciiTheme="minorEastAsia" w:hAnsiTheme="minorEastAsia" w:eastAsiaTheme="minorEastAsia" w:cstheme="minorEastAsia"/>
                <w:b/>
                <w:bCs/>
                <w:color w:val="000000" w:themeColor="text1"/>
                <w:sz w:val="24"/>
                <w:szCs w:val="24"/>
                <w:lang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bidi="ar"/>
                <w14:textFill>
                  <w14:solidFill>
                    <w14:schemeClr w14:val="tx1"/>
                  </w14:solidFill>
                </w14:textFill>
              </w:rPr>
              <w:t>单</w:t>
            </w:r>
            <w: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t>位</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left="0" w:leftChars="0" w:firstLine="0" w:firstLineChars="0"/>
              <w:jc w:val="center"/>
              <w:textAlignment w:val="center"/>
              <w:rPr>
                <w:rFonts w:hint="eastAsia" w:asciiTheme="minorEastAsia" w:hAnsiTheme="minorEastAsia" w:eastAsiaTheme="minorEastAsia" w:cstheme="minorEastAsia"/>
                <w:b/>
                <w:bCs/>
                <w:color w:val="000000" w:themeColor="text1"/>
                <w:sz w:val="24"/>
                <w:szCs w:val="24"/>
                <w:lang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bidi="ar"/>
                <w14:textFill>
                  <w14:solidFill>
                    <w14:schemeClr w14:val="tx1"/>
                  </w14:solidFill>
                </w14:textFill>
              </w:rPr>
              <w:t>数量</w:t>
            </w:r>
          </w:p>
        </w:tc>
        <w:tc>
          <w:tcPr>
            <w:tcW w:w="784" w:type="dxa"/>
            <w:tcBorders>
              <w:top w:val="single" w:color="000000" w:sz="4" w:space="0"/>
              <w:left w:val="single" w:color="000000" w:sz="4" w:space="0"/>
              <w:bottom w:val="single" w:color="000000" w:sz="4" w:space="0"/>
              <w:right w:val="single" w:color="000000" w:sz="4" w:space="0"/>
            </w:tcBorders>
            <w:noWrap/>
            <w:vAlign w:val="center"/>
          </w:tcPr>
          <w:p>
            <w:pPr>
              <w:widowControl w:val="0"/>
              <w:ind w:left="0" w:leftChars="0" w:firstLine="0" w:firstLineChars="0"/>
              <w:jc w:val="center"/>
              <w:textAlignment w:val="cente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val="en-US" w:eastAsia="zh-CN" w:bidi="ar"/>
                <w14:textFill>
                  <w14:solidFill>
                    <w14:schemeClr w14:val="tx1"/>
                  </w14:solidFill>
                </w14:textFill>
              </w:rPr>
              <w:t>单价</w:t>
            </w:r>
          </w:p>
        </w:tc>
        <w:tc>
          <w:tcPr>
            <w:tcW w:w="1224" w:type="dxa"/>
            <w:tcBorders>
              <w:top w:val="single" w:color="000000" w:sz="4" w:space="0"/>
              <w:left w:val="single" w:color="000000" w:sz="4" w:space="0"/>
              <w:bottom w:val="single" w:color="000000" w:sz="4" w:space="0"/>
              <w:right w:val="single" w:color="000000" w:sz="4" w:space="0"/>
            </w:tcBorders>
            <w:noWrap/>
            <w:vAlign w:val="center"/>
          </w:tcPr>
          <w:p>
            <w:pPr>
              <w:widowControl w:val="0"/>
              <w:ind w:left="0" w:leftChars="0" w:firstLine="0" w:firstLineChars="0"/>
              <w:jc w:val="center"/>
              <w:textAlignment w:val="cente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lang w:bidi="ar"/>
                <w14:textFill>
                  <w14:solidFill>
                    <w14:schemeClr w14:val="tx1"/>
                  </w14:solidFill>
                </w14:textFill>
              </w:rPr>
              <w:t>合价</w:t>
            </w: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r>
      <w:tr>
        <w:tblPrEx>
          <w:tblCellMar>
            <w:top w:w="0" w:type="dxa"/>
            <w:left w:w="108" w:type="dxa"/>
            <w:bottom w:w="0" w:type="dxa"/>
            <w:right w:w="108" w:type="dxa"/>
          </w:tblCellMar>
        </w:tblPrEx>
        <w:trPr>
          <w:trHeight w:val="454" w:hRule="exact"/>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1230"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167"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205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sz w:val="24"/>
                <w:szCs w:val="24"/>
                <w14:textFill>
                  <w14:solidFill>
                    <w14:schemeClr w14:val="tx1"/>
                  </w14:solidFill>
                </w14:textFill>
              </w:rPr>
            </w:pPr>
          </w:p>
        </w:tc>
        <w:tc>
          <w:tcPr>
            <w:tcW w:w="78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c>
          <w:tcPr>
            <w:tcW w:w="1224" w:type="dxa"/>
            <w:tcBorders>
              <w:top w:val="single" w:color="000000" w:sz="4" w:space="0"/>
              <w:left w:val="single" w:color="000000" w:sz="4" w:space="0"/>
              <w:bottom w:val="single" w:color="000000" w:sz="4" w:space="0"/>
              <w:right w:val="single" w:color="000000" w:sz="4" w:space="0"/>
            </w:tcBorders>
            <w:noWrap w:val="0"/>
            <w:vAlign w:val="center"/>
          </w:tcPr>
          <w:p>
            <w:pPr>
              <w:widowControl w:val="0"/>
              <w:ind w:firstLine="0" w:firstLineChars="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p>
        </w:tc>
      </w:tr>
      <w:tr>
        <w:tblPrEx>
          <w:tblCellMar>
            <w:top w:w="0" w:type="dxa"/>
            <w:left w:w="108" w:type="dxa"/>
            <w:bottom w:w="0" w:type="dxa"/>
            <w:right w:w="108" w:type="dxa"/>
          </w:tblCellMar>
        </w:tblPrEx>
        <w:trPr>
          <w:trHeight w:val="867" w:hRule="atLeast"/>
        </w:trPr>
        <w:tc>
          <w:tcPr>
            <w:tcW w:w="1950" w:type="dxa"/>
            <w:gridSpan w:val="2"/>
            <w:tcBorders>
              <w:top w:val="single" w:color="000000" w:sz="4" w:space="0"/>
              <w:left w:val="single" w:color="000000" w:sz="4" w:space="0"/>
              <w:bottom w:val="single" w:color="000000" w:sz="4" w:space="0"/>
              <w:right w:val="single" w:color="000000" w:sz="4" w:space="0"/>
            </w:tcBorders>
            <w:noWrap/>
            <w:vAlign w:val="center"/>
          </w:tcPr>
          <w:p>
            <w:pPr>
              <w:widowControl w:val="0"/>
              <w:jc w:val="center"/>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t>合计</w:t>
            </w:r>
          </w:p>
        </w:tc>
        <w:tc>
          <w:tcPr>
            <w:tcW w:w="7819" w:type="dxa"/>
            <w:gridSpan w:val="6"/>
            <w:tcBorders>
              <w:top w:val="single" w:color="000000" w:sz="4" w:space="0"/>
              <w:left w:val="single" w:color="000000" w:sz="4" w:space="0"/>
              <w:bottom w:val="single" w:color="000000" w:sz="4" w:space="0"/>
              <w:right w:val="single" w:color="000000" w:sz="4" w:space="0"/>
            </w:tcBorders>
            <w:noWrap/>
            <w:vAlign w:val="center"/>
          </w:tcPr>
          <w:p>
            <w:pPr>
              <w:pStyle w:val="57"/>
              <w:spacing w:line="360" w:lineRule="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pPr>
              <w:widowControl w:val="0"/>
              <w:ind w:firstLine="0" w:firstLineChars="0"/>
              <w:textAlignment w:val="center"/>
              <w:rPr>
                <w:rFonts w:hint="eastAsia" w:asciiTheme="minorEastAsia" w:hAnsiTheme="minorEastAsia" w:eastAsiaTheme="minorEastAsia" w:cstheme="minorEastAsia"/>
                <w:color w:val="000000" w:themeColor="text1"/>
                <w:kern w:val="0"/>
                <w:sz w:val="24"/>
                <w:szCs w:val="24"/>
                <w:lang w:bidi="ar"/>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人民币（大写）：</w:t>
            </w:r>
          </w:p>
        </w:tc>
      </w:tr>
    </w:tbl>
    <w:p>
      <w:pPr>
        <w:pStyle w:val="58"/>
        <w:widowControl w:val="0"/>
        <w:adjustRightInd w:val="0"/>
        <w:spacing w:line="360" w:lineRule="auto"/>
        <w:ind w:firstLine="480" w:firstLineChars="200"/>
        <w:jc w:val="left"/>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4"/>
          <w:szCs w:val="24"/>
          <w14:textFill>
            <w14:solidFill>
              <w14:schemeClr w14:val="tx1"/>
            </w14:solidFill>
          </w14:textFill>
        </w:rPr>
        <w:t>供应商应分项进行填报，表中表格行数可自行添加。报价应包含项目实施过程中涉及到的一切相关费用</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且包含税率为13%的增值税税款（报价包含</w:t>
      </w:r>
      <w:r>
        <w:rPr>
          <w:rFonts w:hint="eastAsia" w:asciiTheme="minorEastAsia" w:hAnsiTheme="minorEastAsia" w:eastAsiaTheme="minorEastAsia" w:cstheme="minorEastAsia"/>
          <w:color w:val="000000" w:themeColor="text1"/>
          <w:sz w:val="24"/>
          <w14:textFill>
            <w14:solidFill>
              <w14:schemeClr w14:val="tx1"/>
            </w14:solidFill>
          </w14:textFill>
        </w:rPr>
        <w:t>设备本身价格、运输、装卸、安装、调试、售后服务、税费、交付过程中涉及到的其他一切费用</w:t>
      </w:r>
      <w:r>
        <w:rPr>
          <w:rFonts w:hint="eastAsia" w:asciiTheme="minorEastAsia" w:hAnsiTheme="minorEastAsia" w:eastAsiaTheme="minorEastAsia" w:cstheme="minorEastAsia"/>
          <w:color w:val="000000" w:themeColor="text1"/>
          <w:sz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b/>
          <w:color w:val="000000" w:themeColor="text1"/>
          <w:sz w:val="24"/>
          <w:szCs w:val="24"/>
          <w14:textFill>
            <w14:solidFill>
              <w14:schemeClr w14:val="tx1"/>
            </w14:solidFill>
          </w14:textFill>
        </w:rPr>
        <w:t>表中报价总计应与对应开标（报价）一览表中总价一致。</w:t>
      </w:r>
    </w:p>
    <w:p>
      <w:pPr>
        <w:pStyle w:val="39"/>
        <w:widowControl w:val="0"/>
        <w:spacing w:after="0" w:line="360" w:lineRule="auto"/>
        <w:ind w:firstLine="480" w:firstLineChars="200"/>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color w:val="000000" w:themeColor="text1"/>
          <w:sz w:val="24"/>
          <w:szCs w:val="24"/>
          <w:lang w:val="en-US" w:eastAsia="zh-CN"/>
          <w14:textFill>
            <w14:solidFill>
              <w14:schemeClr w14:val="tx1"/>
            </w14:solidFill>
          </w14:textFill>
        </w:rPr>
        <w:t>2、投标人已知并接受如下付款方式：</w:t>
      </w:r>
    </w:p>
    <w:p>
      <w:pPr>
        <w:pStyle w:val="39"/>
        <w:widowControl w:val="0"/>
        <w:numPr>
          <w:ilvl w:val="-1"/>
          <w:numId w:val="0"/>
        </w:numPr>
        <w:spacing w:after="0" w:line="360" w:lineRule="auto"/>
        <w:ind w:left="0" w:leftChars="0" w:firstLine="480" w:firstLineChars="200"/>
        <w:rPr>
          <w:rFonts w:hint="eastAsia" w:ascii="宋体" w:hAnsi="宋体"/>
          <w:color w:val="000000" w:themeColor="text1"/>
          <w:szCs w:val="21"/>
          <w:u w:val="none"/>
          <w:lang w:val="en-US" w:eastAsia="zh-CN"/>
          <w14:textFill>
            <w14:solidFill>
              <w14:schemeClr w14:val="tx1"/>
            </w14:solidFill>
          </w14:textFill>
        </w:rPr>
      </w:pPr>
      <w:r>
        <w:rPr>
          <w:rFonts w:hint="eastAsia" w:ascii="宋体" w:hAnsi="宋体"/>
          <w:color w:val="000000" w:themeColor="text1"/>
          <w:szCs w:val="21"/>
          <w:u w:val="none"/>
          <w:lang w:val="en-US" w:eastAsia="zh-CN"/>
          <w14:textFill>
            <w14:solidFill>
              <w14:schemeClr w14:val="tx1"/>
            </w14:solidFill>
          </w14:textFill>
        </w:rPr>
        <w:t>本次购销无预付款，</w:t>
      </w:r>
      <w:r>
        <w:rPr>
          <w:rFonts w:hint="eastAsia" w:ascii="宋体" w:hAnsi="宋体"/>
          <w:color w:val="000000" w:themeColor="text1"/>
          <w:szCs w:val="21"/>
          <w:lang w:val="en-US" w:eastAsia="zh-CN"/>
          <w14:textFill>
            <w14:solidFill>
              <w14:schemeClr w14:val="tx1"/>
            </w14:solidFill>
          </w14:textFill>
        </w:rPr>
        <w:t>供货结束安装调试成功且正常生产运行后一个月内</w:t>
      </w:r>
      <w:r>
        <w:rPr>
          <w:rFonts w:hint="eastAsia" w:ascii="宋体" w:hAnsi="宋体"/>
          <w:color w:val="000000" w:themeColor="text1"/>
          <w:szCs w:val="21"/>
          <w:u w:val="none"/>
          <w:lang w:val="en-US" w:eastAsia="zh-CN"/>
          <w14:textFill>
            <w14:solidFill>
              <w14:schemeClr w14:val="tx1"/>
            </w14:solidFill>
          </w14:textFill>
        </w:rPr>
        <w:t>，采购方收到供货方提供税率为13%的增值税专用发票、</w:t>
      </w:r>
      <w:r>
        <w:rPr>
          <w:rFonts w:hint="eastAsia" w:asciiTheme="minorEastAsia" w:hAnsiTheme="minorEastAsia" w:eastAsiaTheme="minorEastAsia" w:cstheme="minorEastAsia"/>
          <w:color w:val="000000" w:themeColor="text1"/>
          <w:sz w:val="24"/>
          <w:szCs w:val="24"/>
          <w14:textFill>
            <w14:solidFill>
              <w14:schemeClr w14:val="tx1"/>
            </w14:solidFill>
          </w14:textFill>
        </w:rPr>
        <w:t>制造厂家出具的质量检验证书等、装箱单、验收合格证书、买方加盖公章证明货物交付使用合格的验收合格报告</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等资料后</w:t>
      </w:r>
      <w:r>
        <w:rPr>
          <w:rFonts w:hint="eastAsia" w:asciiTheme="minorEastAsia" w:hAnsiTheme="minorEastAsia" w:eastAsiaTheme="minorEastAsia" w:cstheme="minorEastAsia"/>
          <w:color w:val="000000" w:themeColor="text1"/>
          <w:kern w:val="0"/>
          <w:sz w:val="24"/>
          <w:u w:val="none"/>
          <w:lang w:val="en-US" w:eastAsia="zh-CN"/>
          <w14:textFill>
            <w14:solidFill>
              <w14:schemeClr w14:val="tx1"/>
            </w14:solidFill>
          </w14:textFill>
        </w:rPr>
        <w:t>，</w:t>
      </w:r>
      <w:r>
        <w:rPr>
          <w:rFonts w:ascii="宋体" w:hAnsi="宋体"/>
          <w:color w:val="000000" w:themeColor="text1"/>
          <w:szCs w:val="21"/>
          <w:u w:val="none"/>
          <w14:textFill>
            <w14:solidFill>
              <w14:schemeClr w14:val="tx1"/>
            </w14:solidFill>
          </w14:textFill>
        </w:rPr>
        <w:t>付</w:t>
      </w:r>
      <w:r>
        <w:rPr>
          <w:rFonts w:hint="eastAsia" w:ascii="宋体" w:hAnsi="宋体"/>
          <w:color w:val="000000" w:themeColor="text1"/>
          <w:szCs w:val="21"/>
          <w:u w:val="none"/>
          <w:lang w:val="en-US" w:eastAsia="zh-CN"/>
          <w14:textFill>
            <w14:solidFill>
              <w14:schemeClr w14:val="tx1"/>
            </w14:solidFill>
          </w14:textFill>
        </w:rPr>
        <w:t>至</w:t>
      </w:r>
      <w:r>
        <w:rPr>
          <w:rFonts w:ascii="宋体" w:hAnsi="宋体"/>
          <w:color w:val="000000" w:themeColor="text1"/>
          <w:szCs w:val="21"/>
          <w:u w:val="none"/>
          <w14:textFill>
            <w14:solidFill>
              <w14:schemeClr w14:val="tx1"/>
            </w14:solidFill>
          </w14:textFill>
        </w:rPr>
        <w:t>合同总价的</w:t>
      </w:r>
      <w:r>
        <w:rPr>
          <w:rFonts w:hint="eastAsia" w:ascii="宋体" w:hAnsi="宋体"/>
          <w:color w:val="000000" w:themeColor="text1"/>
          <w:szCs w:val="21"/>
          <w:u w:val="none"/>
          <w:lang w:val="en-US" w:eastAsia="zh-CN"/>
          <w14:textFill>
            <w14:solidFill>
              <w14:schemeClr w14:val="tx1"/>
            </w14:solidFill>
          </w14:textFill>
        </w:rPr>
        <w:t>9</w:t>
      </w:r>
      <w:r>
        <w:rPr>
          <w:rFonts w:hint="eastAsia" w:ascii="宋体" w:hAnsi="宋体"/>
          <w:color w:val="000000" w:themeColor="text1"/>
          <w:szCs w:val="21"/>
          <w:u w:val="none"/>
          <w14:textFill>
            <w14:solidFill>
              <w14:schemeClr w14:val="tx1"/>
            </w14:solidFill>
          </w14:textFill>
        </w:rPr>
        <w:t>0</w:t>
      </w:r>
      <w:r>
        <w:rPr>
          <w:rFonts w:ascii="宋体" w:hAnsi="宋体"/>
          <w:color w:val="000000" w:themeColor="text1"/>
          <w:szCs w:val="21"/>
          <w:u w:val="none"/>
          <w14:textFill>
            <w14:solidFill>
              <w14:schemeClr w14:val="tx1"/>
            </w14:solidFill>
          </w14:textFill>
        </w:rPr>
        <w:t>%</w:t>
      </w:r>
      <w:r>
        <w:rPr>
          <w:rFonts w:hint="eastAsia" w:ascii="宋体" w:hAnsi="宋体"/>
          <w:color w:val="000000" w:themeColor="text1"/>
          <w:szCs w:val="21"/>
          <w:u w:val="none"/>
          <w14:textFill>
            <w14:solidFill>
              <w14:schemeClr w14:val="tx1"/>
            </w14:solidFill>
          </w14:textFill>
        </w:rPr>
        <w:t>。</w:t>
      </w:r>
      <w:r>
        <w:rPr>
          <w:rFonts w:ascii="宋体" w:hAnsi="宋体"/>
          <w:color w:val="000000" w:themeColor="text1"/>
          <w:szCs w:val="21"/>
          <w14:textFill>
            <w14:solidFill>
              <w14:schemeClr w14:val="tx1"/>
            </w14:solidFill>
          </w14:textFill>
        </w:rPr>
        <w:t>余款自</w:t>
      </w:r>
      <w:r>
        <w:rPr>
          <w:rFonts w:hint="eastAsia" w:ascii="宋体" w:hAnsi="宋体"/>
          <w:color w:val="000000" w:themeColor="text1"/>
          <w:szCs w:val="21"/>
          <w:lang w:val="en-US" w:eastAsia="zh-CN"/>
          <w14:textFill>
            <w14:solidFill>
              <w14:schemeClr w14:val="tx1"/>
            </w14:solidFill>
          </w14:textFill>
        </w:rPr>
        <w:t>物品</w:t>
      </w:r>
      <w:r>
        <w:rPr>
          <w:rFonts w:hint="eastAsia" w:ascii="宋体" w:hAnsi="宋体"/>
          <w:color w:val="000000" w:themeColor="text1"/>
          <w:szCs w:val="21"/>
          <w14:textFill>
            <w14:solidFill>
              <w14:schemeClr w14:val="tx1"/>
            </w14:solidFill>
          </w14:textFill>
        </w:rPr>
        <w:t>交</w:t>
      </w:r>
      <w:r>
        <w:rPr>
          <w:rFonts w:hint="eastAsia" w:ascii="宋体" w:hAnsi="宋体"/>
          <w:color w:val="000000" w:themeColor="text1"/>
          <w:szCs w:val="21"/>
          <w:lang w:val="en-US" w:eastAsia="zh-CN"/>
          <w14:textFill>
            <w14:solidFill>
              <w14:schemeClr w14:val="tx1"/>
            </w14:solidFill>
          </w14:textFill>
        </w:rPr>
        <w:t>付安装调试成功且正常生产运行后一个月</w:t>
      </w:r>
      <w:r>
        <w:rPr>
          <w:rFonts w:ascii="宋体" w:hAnsi="宋体"/>
          <w:color w:val="000000" w:themeColor="text1"/>
          <w:szCs w:val="21"/>
          <w:u w:val="none"/>
          <w14:textFill>
            <w14:solidFill>
              <w14:schemeClr w14:val="tx1"/>
            </w14:solidFill>
          </w14:textFill>
        </w:rPr>
        <w:t>起满</w:t>
      </w:r>
      <w:r>
        <w:rPr>
          <w:rFonts w:hint="eastAsia" w:ascii="宋体" w:hAnsi="宋体"/>
          <w:color w:val="000000" w:themeColor="text1"/>
          <w:szCs w:val="21"/>
          <w:u w:val="none"/>
          <w:lang w:val="en-US" w:eastAsia="zh-CN"/>
          <w14:textFill>
            <w14:solidFill>
              <w14:schemeClr w14:val="tx1"/>
            </w14:solidFill>
          </w14:textFill>
        </w:rPr>
        <w:t>壹</w:t>
      </w:r>
      <w:r>
        <w:rPr>
          <w:rFonts w:ascii="宋体" w:hAnsi="宋体"/>
          <w:color w:val="000000" w:themeColor="text1"/>
          <w:szCs w:val="21"/>
          <w:u w:val="none"/>
          <w14:textFill>
            <w14:solidFill>
              <w14:schemeClr w14:val="tx1"/>
            </w14:solidFill>
          </w14:textFill>
        </w:rPr>
        <w:t>年</w:t>
      </w:r>
      <w:r>
        <w:rPr>
          <w:rFonts w:hint="eastAsia" w:ascii="宋体" w:hAnsi="宋体"/>
          <w:color w:val="000000" w:themeColor="text1"/>
          <w:szCs w:val="21"/>
          <w:u w:val="none"/>
          <w:lang w:val="en-US" w:eastAsia="zh-CN"/>
          <w14:textFill>
            <w14:solidFill>
              <w14:schemeClr w14:val="tx1"/>
            </w14:solidFill>
          </w14:textFill>
        </w:rPr>
        <w:t>后，采购方收到全部合同额税率为13的%增值税专用发票和最终结算单等资料后无息付清。</w:t>
      </w:r>
    </w:p>
    <w:p>
      <w:pPr>
        <w:pStyle w:val="39"/>
        <w:widowControl w:val="0"/>
        <w:numPr>
          <w:ilvl w:val="-1"/>
          <w:numId w:val="0"/>
        </w:numPr>
        <w:spacing w:after="0" w:line="360" w:lineRule="auto"/>
        <w:ind w:left="0" w:leftChars="0" w:firstLine="480" w:firstLineChars="200"/>
        <w:rPr>
          <w:rFonts w:hint="eastAsia" w:ascii="宋体" w:hAnsi="宋体"/>
          <w:color w:val="000000" w:themeColor="text1"/>
          <w:szCs w:val="21"/>
          <w:u w:val="none"/>
          <w:lang w:val="en-US" w:eastAsia="zh-CN"/>
          <w14:textFill>
            <w14:solidFill>
              <w14:schemeClr w14:val="tx1"/>
            </w14:solidFill>
          </w14:textFill>
        </w:rPr>
      </w:pPr>
    </w:p>
    <w:p>
      <w:pPr>
        <w:pStyle w:val="56"/>
        <w:widowControl w:val="0"/>
        <w:spacing w:line="360" w:lineRule="auto"/>
        <w:ind w:firstLine="4560" w:firstLineChars="1900"/>
        <w:rPr>
          <w:rFonts w:hint="eastAsia" w:asciiTheme="minorEastAsia" w:hAnsiTheme="minorEastAsia" w:eastAsiaTheme="minorEastAsia" w:cstheme="minorEastAsia"/>
          <w:color w:val="000000" w:themeColor="text1"/>
          <w:sz w:val="24"/>
          <w:u w:val="single"/>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单位名称：</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u w:val="single"/>
          <w:lang w:eastAsia="zh-CN"/>
          <w14:textFill>
            <w14:solidFill>
              <w14:schemeClr w14:val="tx1"/>
            </w14:solidFill>
          </w14:textFill>
        </w:rPr>
        <w:t>（盖章）</w:t>
      </w:r>
    </w:p>
    <w:p>
      <w:pPr>
        <w:widowControl/>
        <w:shd w:val="clear" w:color="auto" w:fill="FFFFFF"/>
        <w:spacing w:line="360" w:lineRule="auto"/>
        <w:ind w:firstLine="4560" w:firstLineChars="1900"/>
        <w:contextualSpacing/>
        <w:rPr>
          <w:rFonts w:hint="eastAsia"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kern w:val="0"/>
          <w:sz w:val="24"/>
          <w:szCs w:val="24"/>
          <w14:textFill>
            <w14:solidFill>
              <w14:schemeClr w14:val="tx1"/>
            </w14:solidFill>
          </w14:textFill>
        </w:rPr>
        <w:t>法人或授权委托人：（签名）</w:t>
      </w:r>
    </w:p>
    <w:p>
      <w:pPr>
        <w:widowControl/>
        <w:shd w:val="clear" w:color="auto" w:fill="FFFFFF"/>
        <w:spacing w:line="405" w:lineRule="atLeast"/>
        <w:ind w:firstLine="5280" w:firstLineChars="2200"/>
        <w:contextualSpacing/>
        <w:rPr>
          <w:rFonts w:hint="eastAsia" w:asciiTheme="minorEastAsia" w:hAnsiTheme="minorEastAsia" w:eastAsiaTheme="minorEastAsia" w:cstheme="minorEastAsia"/>
          <w:b/>
          <w:color w:val="000000" w:themeColor="text1"/>
          <w:sz w:val="32"/>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val="en-US" w:eastAsia="zh-CN"/>
          <w14:textFill>
            <w14:solidFill>
              <w14:schemeClr w14:val="tx1"/>
            </w14:solidFill>
          </w14:textFill>
        </w:rPr>
        <w:t>2024年    月    日</w:t>
      </w:r>
      <w:r>
        <w:rPr>
          <w:rFonts w:hint="eastAsia" w:asciiTheme="minorEastAsia" w:hAnsiTheme="minorEastAsia" w:eastAsiaTheme="minorEastAsia" w:cstheme="minorEastAsia"/>
          <w:color w:val="000000" w:themeColor="text1"/>
          <w14:textFill>
            <w14:solidFill>
              <w14:schemeClr w14:val="tx1"/>
            </w14:solidFill>
          </w14:textFill>
        </w:rPr>
        <w:br w:type="page"/>
      </w:r>
      <w:r>
        <w:rPr>
          <w:rFonts w:hint="eastAsia" w:asciiTheme="minorEastAsia" w:hAnsiTheme="minorEastAsia" w:eastAsiaTheme="minorEastAsia" w:cstheme="minorEastAsia"/>
          <w:b/>
          <w:color w:val="000000" w:themeColor="text1"/>
          <w:sz w:val="32"/>
          <w:szCs w:val="24"/>
          <w:lang w:val="en-US" w:eastAsia="zh-CN" w:bidi="ar-SA"/>
          <w14:textFill>
            <w14:solidFill>
              <w14:schemeClr w14:val="tx1"/>
            </w14:solidFill>
          </w14:textFill>
        </w:rPr>
        <w:t>六、</w:t>
      </w:r>
      <w:bookmarkEnd w:id="76"/>
      <w:r>
        <w:rPr>
          <w:rFonts w:hint="eastAsia" w:asciiTheme="minorEastAsia" w:hAnsiTheme="minorEastAsia" w:eastAsiaTheme="minorEastAsia" w:cstheme="minorEastAsia"/>
          <w:b/>
          <w:color w:val="000000" w:themeColor="text1"/>
          <w:sz w:val="32"/>
          <w:szCs w:val="24"/>
          <w:lang w:val="en-US" w:eastAsia="zh-CN" w:bidi="ar-SA"/>
          <w14:textFill>
            <w14:solidFill>
              <w14:schemeClr w14:val="tx1"/>
            </w14:solidFill>
          </w14:textFill>
        </w:rPr>
        <w:t>为本项目提供售后服务的机构网点清单</w:t>
      </w:r>
    </w:p>
    <w:p>
      <w:pPr>
        <w:pStyle w:val="59"/>
        <w:ind w:firstLine="526"/>
        <w:rPr>
          <w:rFonts w:hint="eastAsia" w:asciiTheme="minorEastAsia" w:hAnsiTheme="minorEastAsia" w:eastAsiaTheme="minorEastAsia" w:cstheme="minorEastAsia"/>
          <w:color w:val="000000" w:themeColor="text1"/>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0"/>
        <w:jc w:val="center"/>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widowControl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投标人全称（加盖单位公章）：</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pPr>
        <w:widowControl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p>
    <w:p>
      <w:pPr>
        <w:widowControl w:val="0"/>
        <w:spacing w:line="500" w:lineRule="exact"/>
        <w:jc w:val="left"/>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法定代表人或授权代表（签字）：</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p>
    <w:p>
      <w:pPr>
        <w:widowControl w:val="0"/>
        <w:spacing w:line="500" w:lineRule="exact"/>
        <w:jc w:val="left"/>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pPr>
    </w:p>
    <w:p>
      <w:pPr>
        <w:widowControl w:val="0"/>
        <w:spacing w:line="500" w:lineRule="exact"/>
        <w:jc w:val="left"/>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年　　 　月　　　　　日</w:t>
      </w:r>
    </w:p>
    <w:p>
      <w:pPr>
        <w:widowControl w:val="0"/>
        <w:spacing w:line="500" w:lineRule="exact"/>
        <w:jc w:val="left"/>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widowControl w:val="0"/>
        <w:spacing w:line="500" w:lineRule="exact"/>
        <w:jc w:val="left"/>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widowControl w:val="0"/>
        <w:spacing w:line="500" w:lineRule="exact"/>
        <w:jc w:val="left"/>
        <w:rPr>
          <w:rFonts w:hint="eastAsia" w:asciiTheme="minorEastAsia" w:hAnsiTheme="minorEastAsia" w:eastAsiaTheme="minorEastAsia" w:cstheme="minorEastAsia"/>
          <w:b/>
          <w:color w:val="000000" w:themeColor="text1"/>
          <w:sz w:val="32"/>
          <w:szCs w:val="32"/>
          <w14:textFill>
            <w14:solidFill>
              <w14:schemeClr w14:val="tx1"/>
            </w14:solidFill>
          </w14:textFill>
        </w:rPr>
      </w:pPr>
    </w:p>
    <w:p>
      <w:pPr>
        <w:pStyle w:val="60"/>
        <w:rPr>
          <w:rFonts w:hint="eastAsia" w:asciiTheme="minorEastAsia" w:hAnsiTheme="minorEastAsia" w:eastAsiaTheme="minorEastAsia" w:cstheme="minorEastAsia"/>
          <w:b/>
          <w:color w:val="000000" w:themeColor="text1"/>
          <w:sz w:val="36"/>
          <w:szCs w:val="36"/>
          <w:lang w:val="en-US" w:eastAsia="zh-CN"/>
          <w14:textFill>
            <w14:solidFill>
              <w14:schemeClr w14:val="tx1"/>
            </w14:solidFill>
          </w14:textFill>
        </w:rPr>
      </w:pPr>
    </w:p>
    <w:p>
      <w:pPr>
        <w:pStyle w:val="65"/>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77" w:name="_Toc256000026"/>
      <w:r>
        <w:rPr>
          <w:rFonts w:hint="eastAsia" w:asciiTheme="minorEastAsia" w:hAnsiTheme="minorEastAsia" w:eastAsiaTheme="minorEastAsia" w:cstheme="minorEastAsia"/>
          <w:color w:val="000000" w:themeColor="text1"/>
          <w:lang w:val="en-US" w:eastAsia="zh-CN"/>
          <w14:textFill>
            <w14:solidFill>
              <w14:schemeClr w14:val="tx1"/>
            </w14:solidFill>
          </w14:textFill>
        </w:rPr>
        <w:br w:type="page"/>
      </w:r>
      <w:bookmarkEnd w:id="77"/>
      <w:bookmarkStart w:id="78" w:name="_Toc256000028"/>
      <w:r>
        <w:rPr>
          <w:rFonts w:hint="eastAsia" w:asciiTheme="minorEastAsia" w:hAnsiTheme="minorEastAsia" w:eastAsiaTheme="minorEastAsia" w:cstheme="minorEastAsia"/>
          <w:color w:val="000000" w:themeColor="text1"/>
          <w:lang w:val="en-US" w:eastAsia="zh-CN"/>
          <w14:textFill>
            <w14:solidFill>
              <w14:schemeClr w14:val="tx1"/>
            </w14:solidFill>
          </w14:textFill>
        </w:rPr>
        <w:t>七</w:t>
      </w:r>
      <w:r>
        <w:rPr>
          <w:rFonts w:hint="eastAsia" w:asciiTheme="minorEastAsia" w:hAnsiTheme="minorEastAsia" w:eastAsiaTheme="minorEastAsia" w:cstheme="minorEastAsia"/>
          <w:color w:val="000000" w:themeColor="text1"/>
          <w14:textFill>
            <w14:solidFill>
              <w14:schemeClr w14:val="tx1"/>
            </w14:solidFill>
          </w14:textFill>
        </w:rPr>
        <w:t>、项目实施方案</w:t>
      </w:r>
      <w:bookmarkEnd w:id="78"/>
    </w:p>
    <w:p>
      <w:pPr>
        <w:pStyle w:val="66"/>
        <w:spacing w:line="560" w:lineRule="exact"/>
        <w:jc w:val="center"/>
        <w:rPr>
          <w:rFonts w:hint="eastAsia" w:asciiTheme="minorEastAsia" w:hAnsiTheme="minorEastAsia" w:eastAsiaTheme="minorEastAsia" w:cstheme="minorEastAsia"/>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
          <w:bCs/>
          <w:color w:val="000000" w:themeColor="text1"/>
          <w:sz w:val="32"/>
          <w:szCs w:val="32"/>
          <w14:textFill>
            <w14:solidFill>
              <w14:schemeClr w14:val="tx1"/>
            </w14:solidFill>
          </w14:textFill>
        </w:rPr>
        <w:t>格式自拟</w:t>
      </w:r>
    </w:p>
    <w:p>
      <w:pPr>
        <w:pStyle w:val="67"/>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bookmarkStart w:id="79" w:name="_Toc256000030"/>
      <w:r>
        <w:rPr>
          <w:rFonts w:hint="eastAsia" w:asciiTheme="minorEastAsia" w:hAnsiTheme="minorEastAsia" w:eastAsiaTheme="minorEastAsia" w:cstheme="minorEastAsia"/>
          <w:color w:val="000000" w:themeColor="text1"/>
          <w14:textFill>
            <w14:solidFill>
              <w14:schemeClr w14:val="tx1"/>
            </w14:solidFill>
          </w14:textFill>
        </w:rPr>
        <w:br w:type="page"/>
      </w:r>
      <w:r>
        <w:rPr>
          <w:rFonts w:hint="eastAsia" w:asciiTheme="minorEastAsia" w:hAnsiTheme="minorEastAsia" w:eastAsiaTheme="minorEastAsia" w:cstheme="minorEastAsia"/>
          <w:color w:val="000000" w:themeColor="text1"/>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14:textFill>
            <w14:solidFill>
              <w14:schemeClr w14:val="tx1"/>
            </w14:solidFill>
          </w14:textFill>
        </w:rPr>
        <w:t>、投标人承担类似项目业绩一览表</w:t>
      </w:r>
      <w:bookmarkEnd w:id="79"/>
    </w:p>
    <w:p>
      <w:pPr>
        <w:pStyle w:val="68"/>
        <w:jc w:val="center"/>
        <w:rPr>
          <w:rFonts w:hint="eastAsia" w:asciiTheme="minorEastAsia" w:hAnsiTheme="minorEastAsia" w:eastAsiaTheme="minorEastAsia" w:cstheme="minorEastAsia"/>
          <w:b/>
          <w:color w:val="000000" w:themeColor="text1"/>
          <w:sz w:val="32"/>
          <w:szCs w:val="32"/>
          <w14:textFill>
            <w14:solidFill>
              <w14:schemeClr w14:val="tx1"/>
            </w14:solidFill>
          </w14:textFill>
        </w:rPr>
      </w:pPr>
      <w:r>
        <w:rPr>
          <w:rFonts w:hint="eastAsia" w:asciiTheme="minorEastAsia" w:hAnsiTheme="minorEastAsia" w:eastAsiaTheme="minorEastAsia" w:cstheme="minorEastAsia"/>
          <w:b/>
          <w:color w:val="000000" w:themeColor="text1"/>
          <w:sz w:val="32"/>
          <w:szCs w:val="32"/>
          <w14:textFill>
            <w14:solidFill>
              <w14:schemeClr w14:val="tx1"/>
            </w14:solidFill>
          </w14:textFill>
        </w:rPr>
        <w:t>投标人承担类似项目业绩一览表</w:t>
      </w:r>
    </w:p>
    <w:tbl>
      <w:tblPr>
        <w:tblStyle w:val="14"/>
        <w:tblW w:w="88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29"/>
        <w:gridCol w:w="3827"/>
        <w:gridCol w:w="2433"/>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3" w:hRule="atLeast"/>
          <w:jc w:val="center"/>
        </w:trPr>
        <w:tc>
          <w:tcPr>
            <w:tcW w:w="1229" w:type="dxa"/>
            <w:noWrap w:val="0"/>
            <w:vAlign w:val="top"/>
          </w:tcPr>
          <w:p>
            <w:pPr>
              <w:pStyle w:val="69"/>
              <w:spacing w:line="560" w:lineRule="exact"/>
              <w:jc w:val="center"/>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序号</w:t>
            </w:r>
          </w:p>
        </w:tc>
        <w:tc>
          <w:tcPr>
            <w:tcW w:w="3827"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项目名称</w:t>
            </w:r>
          </w:p>
        </w:tc>
        <w:tc>
          <w:tcPr>
            <w:tcW w:w="2433"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采购单位</w:t>
            </w:r>
          </w:p>
        </w:tc>
        <w:tc>
          <w:tcPr>
            <w:tcW w:w="1395"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0" w:hRule="atLeast"/>
          <w:jc w:val="center"/>
        </w:trPr>
        <w:tc>
          <w:tcPr>
            <w:tcW w:w="1229" w:type="dxa"/>
            <w:noWrap w:val="0"/>
            <w:vAlign w:val="top"/>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3827"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2433"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1395"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0" w:hRule="atLeast"/>
          <w:jc w:val="center"/>
        </w:trPr>
        <w:tc>
          <w:tcPr>
            <w:tcW w:w="1229" w:type="dxa"/>
            <w:noWrap w:val="0"/>
            <w:vAlign w:val="top"/>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3827"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2433"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1395"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10" w:hRule="atLeast"/>
          <w:jc w:val="center"/>
        </w:trPr>
        <w:tc>
          <w:tcPr>
            <w:tcW w:w="1229" w:type="dxa"/>
            <w:noWrap w:val="0"/>
            <w:vAlign w:val="top"/>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3827"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2433"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1395"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25" w:hRule="atLeast"/>
          <w:jc w:val="center"/>
        </w:trPr>
        <w:tc>
          <w:tcPr>
            <w:tcW w:w="1229" w:type="dxa"/>
            <w:noWrap w:val="0"/>
            <w:vAlign w:val="top"/>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3827"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2433"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c>
          <w:tcPr>
            <w:tcW w:w="1395" w:type="dxa"/>
            <w:noWrap w:val="0"/>
            <w:vAlign w:val="center"/>
          </w:tcPr>
          <w:p>
            <w:pPr>
              <w:pStyle w:val="69"/>
              <w:spacing w:line="560" w:lineRule="exact"/>
              <w:jc w:val="center"/>
              <w:rPr>
                <w:rFonts w:hint="eastAsia" w:asciiTheme="minorEastAsia" w:hAnsiTheme="minorEastAsia" w:eastAsiaTheme="minorEastAsia" w:cstheme="minorEastAsia"/>
                <w:color w:val="000000" w:themeColor="text1"/>
                <w:sz w:val="28"/>
                <w14:textFill>
                  <w14:solidFill>
                    <w14:schemeClr w14:val="tx1"/>
                  </w14:solidFill>
                </w14:textFill>
              </w:rPr>
            </w:pPr>
          </w:p>
        </w:tc>
      </w:tr>
    </w:tbl>
    <w:p>
      <w:pPr>
        <w:pStyle w:val="68"/>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b/>
          <w:color w:val="000000" w:themeColor="text1"/>
          <w:sz w:val="24"/>
          <w14:textFill>
            <w14:solidFill>
              <w14:schemeClr w14:val="tx1"/>
            </w14:solidFill>
          </w14:textFill>
        </w:rPr>
        <w:t>注：请填写此表，并按要求后附业绩资料相关复印件。</w:t>
      </w:r>
    </w:p>
    <w:p>
      <w:pPr>
        <w:pStyle w:val="76"/>
        <w:widowControl w:val="0"/>
        <w:outlineLvl w:val="1"/>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br w:type="page"/>
      </w:r>
      <w:bookmarkStart w:id="80" w:name="_Toc256000031"/>
      <w:r>
        <w:rPr>
          <w:rFonts w:hint="eastAsia" w:asciiTheme="minorEastAsia" w:hAnsiTheme="minorEastAsia" w:eastAsiaTheme="minorEastAsia" w:cstheme="minorEastAsia"/>
          <w:color w:val="000000" w:themeColor="text1"/>
          <w:lang w:val="en-US" w:eastAsia="zh-CN"/>
          <w14:textFill>
            <w14:solidFill>
              <w14:schemeClr w14:val="tx1"/>
            </w14:solidFill>
          </w14:textFill>
        </w:rPr>
        <w:t>九</w:t>
      </w:r>
      <w:r>
        <w:rPr>
          <w:rFonts w:hint="eastAsia" w:asciiTheme="minorEastAsia" w:hAnsiTheme="minorEastAsia" w:eastAsiaTheme="minorEastAsia" w:cstheme="minorEastAsia"/>
          <w:color w:val="000000" w:themeColor="text1"/>
          <w14:textFill>
            <w14:solidFill>
              <w14:schemeClr w14:val="tx1"/>
            </w14:solidFill>
          </w14:textFill>
        </w:rPr>
        <w:t>、投标所需其他材料</w:t>
      </w:r>
      <w:bookmarkEnd w:id="80"/>
    </w:p>
    <w:p>
      <w:pPr>
        <w:pStyle w:val="77"/>
        <w:spacing w:line="360" w:lineRule="auto"/>
        <w:ind w:firstLine="420" w:firstLineChars="200"/>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请在此部分中增加投标所需其他相关内容（包括资格要求、评分办法、采购需求中涉及的证件证明及其它投标人认为有必要提供的资料）。</w:t>
      </w:r>
    </w:p>
    <w:p>
      <w:pPr>
        <w:widowControl w:val="0"/>
        <w:rPr>
          <w:rFonts w:hint="eastAsia" w:asciiTheme="minorEastAsia" w:hAnsiTheme="minorEastAsia" w:eastAsiaTheme="minorEastAsia" w:cstheme="minorEastAsia"/>
          <w:color w:val="000000" w:themeColor="text1"/>
          <w:sz w:val="20"/>
          <w14:textFill>
            <w14:solidFill>
              <w14:schemeClr w14:val="tx1"/>
            </w14:solidFill>
          </w14:textFill>
        </w:rPr>
      </w:pPr>
      <w:r>
        <w:rPr>
          <w:rFonts w:hint="eastAsia" w:asciiTheme="minorEastAsia" w:hAnsiTheme="minorEastAsia" w:eastAsiaTheme="minorEastAsia" w:cstheme="minorEastAsia"/>
          <w:color w:val="000000" w:themeColor="text1"/>
          <w:sz w:val="20"/>
          <w14:textFill>
            <w14:solidFill>
              <w14:schemeClr w14:val="tx1"/>
            </w14:solidFill>
          </w14:textFill>
        </w:rPr>
        <w:t xml:space="preserve"> </w:t>
      </w:r>
      <w:bookmarkEnd w:id="69"/>
    </w:p>
    <w:bookmarkEnd w:id="16"/>
    <w:p>
      <w:pPr>
        <w:pStyle w:val="4"/>
        <w:widowControl w:val="0"/>
        <w:ind w:firstLine="480"/>
        <w:rPr>
          <w:rFonts w:hint="eastAsia" w:asciiTheme="minorEastAsia" w:hAnsiTheme="minorEastAsia" w:eastAsiaTheme="minorEastAsia" w:cstheme="minorEastAsia"/>
          <w:color w:val="000000" w:themeColor="text1"/>
          <w14:textFill>
            <w14:solidFill>
              <w14:schemeClr w14:val="tx1"/>
            </w14:solidFill>
          </w14:textFill>
        </w:rPr>
      </w:pPr>
    </w:p>
    <w:sectPr>
      <w:headerReference r:id="rId7" w:type="first"/>
      <w:footerReference r:id="rId10" w:type="first"/>
      <w:headerReference r:id="rId5" w:type="default"/>
      <w:footerReference r:id="rId8" w:type="default"/>
      <w:headerReference r:id="rId6" w:type="even"/>
      <w:footerReference r:id="rId9" w:type="even"/>
      <w:pgSz w:w="11906" w:h="16838"/>
      <w:pgMar w:top="1571" w:right="1134" w:bottom="1440" w:left="1134"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C5147"/>
    <w:multiLevelType w:val="singleLevel"/>
    <w:tmpl w:val="830C5147"/>
    <w:lvl w:ilvl="0" w:tentative="0">
      <w:start w:val="1"/>
      <w:numFmt w:val="decimal"/>
      <w:lvlText w:val="%1."/>
      <w:lvlJc w:val="left"/>
      <w:pPr>
        <w:tabs>
          <w:tab w:val="left" w:pos="312"/>
        </w:tabs>
      </w:pPr>
    </w:lvl>
  </w:abstractNum>
  <w:abstractNum w:abstractNumId="1">
    <w:nsid w:val="AB6F826F"/>
    <w:multiLevelType w:val="singleLevel"/>
    <w:tmpl w:val="AB6F826F"/>
    <w:lvl w:ilvl="0" w:tentative="0">
      <w:start w:val="2"/>
      <w:numFmt w:val="decimal"/>
      <w:suff w:val="nothing"/>
      <w:lvlText w:val="%1、"/>
      <w:lvlJc w:val="left"/>
    </w:lvl>
  </w:abstractNum>
  <w:abstractNum w:abstractNumId="2">
    <w:nsid w:val="7463D45F"/>
    <w:multiLevelType w:val="singleLevel"/>
    <w:tmpl w:val="7463D45F"/>
    <w:lvl w:ilvl="0" w:tentative="0">
      <w:start w:val="1"/>
      <w:numFmt w:val="decimal"/>
      <w:suff w:val="nothing"/>
      <w:lvlText w:val="%1、"/>
      <w:lvlJc w:val="left"/>
    </w:lvl>
  </w:abstractNum>
  <w:abstractNum w:abstractNumId="3">
    <w:nsid w:val="7EAF525B"/>
    <w:multiLevelType w:val="singleLevel"/>
    <w:tmpl w:val="7EAF525B"/>
    <w:lvl w:ilvl="0" w:tentative="0">
      <w:start w:val="1"/>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zZDYxY2RkYzJlNzUwYjA0MjU1NDU2ODQyNGE2N2EifQ=="/>
  </w:docVars>
  <w:rsids>
    <w:rsidRoot w:val="00813C90"/>
    <w:rsid w:val="00015B8E"/>
    <w:rsid w:val="00016597"/>
    <w:rsid w:val="00020EFA"/>
    <w:rsid w:val="00020F66"/>
    <w:rsid w:val="00023C27"/>
    <w:rsid w:val="00026377"/>
    <w:rsid w:val="00030744"/>
    <w:rsid w:val="00031881"/>
    <w:rsid w:val="00035A78"/>
    <w:rsid w:val="0003634D"/>
    <w:rsid w:val="00037D73"/>
    <w:rsid w:val="00071AE1"/>
    <w:rsid w:val="000768B5"/>
    <w:rsid w:val="00077177"/>
    <w:rsid w:val="00082CC9"/>
    <w:rsid w:val="00084447"/>
    <w:rsid w:val="00092108"/>
    <w:rsid w:val="000978A6"/>
    <w:rsid w:val="000A2A68"/>
    <w:rsid w:val="000A3B9E"/>
    <w:rsid w:val="000A5D9D"/>
    <w:rsid w:val="000B11EE"/>
    <w:rsid w:val="000B2D8E"/>
    <w:rsid w:val="000B4C94"/>
    <w:rsid w:val="000B6230"/>
    <w:rsid w:val="000C0BF1"/>
    <w:rsid w:val="000C1B49"/>
    <w:rsid w:val="000C5C92"/>
    <w:rsid w:val="000D640E"/>
    <w:rsid w:val="000E6C2E"/>
    <w:rsid w:val="000E78F5"/>
    <w:rsid w:val="000F699B"/>
    <w:rsid w:val="000F7BC8"/>
    <w:rsid w:val="000F7C0C"/>
    <w:rsid w:val="00100985"/>
    <w:rsid w:val="001020EB"/>
    <w:rsid w:val="00124B4C"/>
    <w:rsid w:val="00124BD5"/>
    <w:rsid w:val="0012622D"/>
    <w:rsid w:val="0013300D"/>
    <w:rsid w:val="0013335D"/>
    <w:rsid w:val="00134A24"/>
    <w:rsid w:val="00134A5D"/>
    <w:rsid w:val="001374D5"/>
    <w:rsid w:val="00143A3E"/>
    <w:rsid w:val="001529F7"/>
    <w:rsid w:val="00153430"/>
    <w:rsid w:val="00156BC0"/>
    <w:rsid w:val="00157873"/>
    <w:rsid w:val="00173005"/>
    <w:rsid w:val="0018470D"/>
    <w:rsid w:val="00196D16"/>
    <w:rsid w:val="001A4AC1"/>
    <w:rsid w:val="001A6C96"/>
    <w:rsid w:val="001B27D8"/>
    <w:rsid w:val="001B75E6"/>
    <w:rsid w:val="001C0439"/>
    <w:rsid w:val="001C412D"/>
    <w:rsid w:val="001C5B56"/>
    <w:rsid w:val="001D135E"/>
    <w:rsid w:val="001D1E6C"/>
    <w:rsid w:val="001E1D69"/>
    <w:rsid w:val="001F3070"/>
    <w:rsid w:val="001F5FE3"/>
    <w:rsid w:val="002015BA"/>
    <w:rsid w:val="002015FB"/>
    <w:rsid w:val="002054D0"/>
    <w:rsid w:val="002161EC"/>
    <w:rsid w:val="0021658D"/>
    <w:rsid w:val="00225500"/>
    <w:rsid w:val="002268FA"/>
    <w:rsid w:val="00230B78"/>
    <w:rsid w:val="00232DC0"/>
    <w:rsid w:val="00234380"/>
    <w:rsid w:val="00243464"/>
    <w:rsid w:val="0025761C"/>
    <w:rsid w:val="002629D4"/>
    <w:rsid w:val="00263DBF"/>
    <w:rsid w:val="00267378"/>
    <w:rsid w:val="002716C6"/>
    <w:rsid w:val="00281BB5"/>
    <w:rsid w:val="00285F0D"/>
    <w:rsid w:val="0028649D"/>
    <w:rsid w:val="00286A25"/>
    <w:rsid w:val="0029322F"/>
    <w:rsid w:val="002B503D"/>
    <w:rsid w:val="002B6AE2"/>
    <w:rsid w:val="002E5DD4"/>
    <w:rsid w:val="002E6A35"/>
    <w:rsid w:val="002E7E7D"/>
    <w:rsid w:val="002F1C12"/>
    <w:rsid w:val="00304483"/>
    <w:rsid w:val="00320327"/>
    <w:rsid w:val="003260D6"/>
    <w:rsid w:val="00336065"/>
    <w:rsid w:val="0033630A"/>
    <w:rsid w:val="00343855"/>
    <w:rsid w:val="0034693F"/>
    <w:rsid w:val="0035463B"/>
    <w:rsid w:val="0035602D"/>
    <w:rsid w:val="0037194D"/>
    <w:rsid w:val="003762F2"/>
    <w:rsid w:val="00377477"/>
    <w:rsid w:val="00377F62"/>
    <w:rsid w:val="00382FAC"/>
    <w:rsid w:val="00396E74"/>
    <w:rsid w:val="003B225F"/>
    <w:rsid w:val="003B6505"/>
    <w:rsid w:val="003B70B2"/>
    <w:rsid w:val="003C0821"/>
    <w:rsid w:val="003C14F0"/>
    <w:rsid w:val="003C4453"/>
    <w:rsid w:val="003C4B81"/>
    <w:rsid w:val="003C4E70"/>
    <w:rsid w:val="003D2B79"/>
    <w:rsid w:val="003E0D76"/>
    <w:rsid w:val="003E6067"/>
    <w:rsid w:val="003E7710"/>
    <w:rsid w:val="004014D5"/>
    <w:rsid w:val="004041A0"/>
    <w:rsid w:val="0041350A"/>
    <w:rsid w:val="00415DE4"/>
    <w:rsid w:val="004322F2"/>
    <w:rsid w:val="0043349E"/>
    <w:rsid w:val="00436C1A"/>
    <w:rsid w:val="00441FBC"/>
    <w:rsid w:val="00445253"/>
    <w:rsid w:val="004515CE"/>
    <w:rsid w:val="00461C89"/>
    <w:rsid w:val="00466745"/>
    <w:rsid w:val="00467397"/>
    <w:rsid w:val="00470204"/>
    <w:rsid w:val="00474C0B"/>
    <w:rsid w:val="004760DE"/>
    <w:rsid w:val="004941EA"/>
    <w:rsid w:val="0049570A"/>
    <w:rsid w:val="004A0AB8"/>
    <w:rsid w:val="004A2783"/>
    <w:rsid w:val="004A564A"/>
    <w:rsid w:val="004B23CA"/>
    <w:rsid w:val="004B5144"/>
    <w:rsid w:val="004B5AB3"/>
    <w:rsid w:val="004B5F61"/>
    <w:rsid w:val="004C796E"/>
    <w:rsid w:val="004D3DF0"/>
    <w:rsid w:val="004E3E84"/>
    <w:rsid w:val="004E3FA1"/>
    <w:rsid w:val="004F3414"/>
    <w:rsid w:val="004F3F17"/>
    <w:rsid w:val="00501BF9"/>
    <w:rsid w:val="00507C8B"/>
    <w:rsid w:val="00511AFF"/>
    <w:rsid w:val="00526E73"/>
    <w:rsid w:val="00552DD8"/>
    <w:rsid w:val="0055418C"/>
    <w:rsid w:val="005605FE"/>
    <w:rsid w:val="00562C5E"/>
    <w:rsid w:val="00570550"/>
    <w:rsid w:val="005708B5"/>
    <w:rsid w:val="005727AF"/>
    <w:rsid w:val="005728E7"/>
    <w:rsid w:val="005732B1"/>
    <w:rsid w:val="005806AF"/>
    <w:rsid w:val="00581449"/>
    <w:rsid w:val="00583D35"/>
    <w:rsid w:val="00593FC3"/>
    <w:rsid w:val="005A4A9B"/>
    <w:rsid w:val="005B4425"/>
    <w:rsid w:val="005B4A57"/>
    <w:rsid w:val="005B7DF3"/>
    <w:rsid w:val="005B7F30"/>
    <w:rsid w:val="005C1727"/>
    <w:rsid w:val="005C5393"/>
    <w:rsid w:val="005C6F23"/>
    <w:rsid w:val="005D6772"/>
    <w:rsid w:val="005E3262"/>
    <w:rsid w:val="005E5EBA"/>
    <w:rsid w:val="005F0B26"/>
    <w:rsid w:val="005F0F35"/>
    <w:rsid w:val="005F1FDD"/>
    <w:rsid w:val="005F2B3A"/>
    <w:rsid w:val="00600D6B"/>
    <w:rsid w:val="00603EFD"/>
    <w:rsid w:val="00610216"/>
    <w:rsid w:val="0062236F"/>
    <w:rsid w:val="00624DE4"/>
    <w:rsid w:val="0062687D"/>
    <w:rsid w:val="006300BC"/>
    <w:rsid w:val="00632C50"/>
    <w:rsid w:val="0063322D"/>
    <w:rsid w:val="006336C9"/>
    <w:rsid w:val="00634C7F"/>
    <w:rsid w:val="00642A17"/>
    <w:rsid w:val="00643151"/>
    <w:rsid w:val="00646EAC"/>
    <w:rsid w:val="006862EA"/>
    <w:rsid w:val="006B6818"/>
    <w:rsid w:val="006C1657"/>
    <w:rsid w:val="006D0EE1"/>
    <w:rsid w:val="006D1DBF"/>
    <w:rsid w:val="006F4A42"/>
    <w:rsid w:val="006F536F"/>
    <w:rsid w:val="0070231E"/>
    <w:rsid w:val="00704304"/>
    <w:rsid w:val="00706AB4"/>
    <w:rsid w:val="00733D14"/>
    <w:rsid w:val="00736B0D"/>
    <w:rsid w:val="00741DB9"/>
    <w:rsid w:val="00742D10"/>
    <w:rsid w:val="0075015E"/>
    <w:rsid w:val="0075137F"/>
    <w:rsid w:val="00751519"/>
    <w:rsid w:val="00752D4E"/>
    <w:rsid w:val="00752F61"/>
    <w:rsid w:val="007632EA"/>
    <w:rsid w:val="00763590"/>
    <w:rsid w:val="0078646D"/>
    <w:rsid w:val="00792532"/>
    <w:rsid w:val="007A5CD8"/>
    <w:rsid w:val="007B0905"/>
    <w:rsid w:val="007B0A4D"/>
    <w:rsid w:val="007B0DB6"/>
    <w:rsid w:val="007B1CB4"/>
    <w:rsid w:val="007B2090"/>
    <w:rsid w:val="007B7B15"/>
    <w:rsid w:val="007C3376"/>
    <w:rsid w:val="007C4878"/>
    <w:rsid w:val="007C4E50"/>
    <w:rsid w:val="007D0223"/>
    <w:rsid w:val="007D0E8E"/>
    <w:rsid w:val="007D1989"/>
    <w:rsid w:val="007D7AC8"/>
    <w:rsid w:val="007F3D85"/>
    <w:rsid w:val="007F51A4"/>
    <w:rsid w:val="007F6893"/>
    <w:rsid w:val="007F7A7E"/>
    <w:rsid w:val="00804F07"/>
    <w:rsid w:val="00813C90"/>
    <w:rsid w:val="008171EE"/>
    <w:rsid w:val="008210A9"/>
    <w:rsid w:val="0082462F"/>
    <w:rsid w:val="00843484"/>
    <w:rsid w:val="008511B3"/>
    <w:rsid w:val="00857403"/>
    <w:rsid w:val="00857EF4"/>
    <w:rsid w:val="00862722"/>
    <w:rsid w:val="008633B5"/>
    <w:rsid w:val="008640CC"/>
    <w:rsid w:val="0089101C"/>
    <w:rsid w:val="008A1F79"/>
    <w:rsid w:val="008A6DAE"/>
    <w:rsid w:val="008B0B69"/>
    <w:rsid w:val="008B1601"/>
    <w:rsid w:val="008B22C6"/>
    <w:rsid w:val="008B55BF"/>
    <w:rsid w:val="008B567D"/>
    <w:rsid w:val="008B744C"/>
    <w:rsid w:val="008C0D7D"/>
    <w:rsid w:val="008D5CF2"/>
    <w:rsid w:val="008E1888"/>
    <w:rsid w:val="008E38CC"/>
    <w:rsid w:val="008F1D7F"/>
    <w:rsid w:val="0090523B"/>
    <w:rsid w:val="0090667F"/>
    <w:rsid w:val="00913B11"/>
    <w:rsid w:val="0091478C"/>
    <w:rsid w:val="00915032"/>
    <w:rsid w:val="00915B59"/>
    <w:rsid w:val="00916413"/>
    <w:rsid w:val="00916B59"/>
    <w:rsid w:val="00920272"/>
    <w:rsid w:val="00923A96"/>
    <w:rsid w:val="00925A70"/>
    <w:rsid w:val="00926B6C"/>
    <w:rsid w:val="00927A78"/>
    <w:rsid w:val="0093016E"/>
    <w:rsid w:val="00930C2A"/>
    <w:rsid w:val="009330FD"/>
    <w:rsid w:val="00937457"/>
    <w:rsid w:val="00940554"/>
    <w:rsid w:val="00942D9B"/>
    <w:rsid w:val="009464B3"/>
    <w:rsid w:val="00953823"/>
    <w:rsid w:val="00956D00"/>
    <w:rsid w:val="00961217"/>
    <w:rsid w:val="009657F9"/>
    <w:rsid w:val="00971731"/>
    <w:rsid w:val="00982886"/>
    <w:rsid w:val="009838C9"/>
    <w:rsid w:val="009861ED"/>
    <w:rsid w:val="0099798A"/>
    <w:rsid w:val="00997B56"/>
    <w:rsid w:val="009A1FB2"/>
    <w:rsid w:val="009A2B9A"/>
    <w:rsid w:val="009A2F08"/>
    <w:rsid w:val="009B6810"/>
    <w:rsid w:val="009B7619"/>
    <w:rsid w:val="009C171D"/>
    <w:rsid w:val="009D3404"/>
    <w:rsid w:val="009E164B"/>
    <w:rsid w:val="009E38BC"/>
    <w:rsid w:val="009F0711"/>
    <w:rsid w:val="009F0E4C"/>
    <w:rsid w:val="009F1AD3"/>
    <w:rsid w:val="009F356F"/>
    <w:rsid w:val="009F46A3"/>
    <w:rsid w:val="00A00CE5"/>
    <w:rsid w:val="00A069BF"/>
    <w:rsid w:val="00A06FF9"/>
    <w:rsid w:val="00A148EB"/>
    <w:rsid w:val="00A14DD8"/>
    <w:rsid w:val="00A15018"/>
    <w:rsid w:val="00A23643"/>
    <w:rsid w:val="00A24A44"/>
    <w:rsid w:val="00A319AF"/>
    <w:rsid w:val="00A3701C"/>
    <w:rsid w:val="00A3729B"/>
    <w:rsid w:val="00A379F9"/>
    <w:rsid w:val="00A45C82"/>
    <w:rsid w:val="00A470AB"/>
    <w:rsid w:val="00A47C03"/>
    <w:rsid w:val="00A51F39"/>
    <w:rsid w:val="00A568B5"/>
    <w:rsid w:val="00A6382D"/>
    <w:rsid w:val="00A63F1D"/>
    <w:rsid w:val="00A67E0F"/>
    <w:rsid w:val="00A71FE6"/>
    <w:rsid w:val="00A720A8"/>
    <w:rsid w:val="00A80CB7"/>
    <w:rsid w:val="00A839F7"/>
    <w:rsid w:val="00A9357B"/>
    <w:rsid w:val="00AA0527"/>
    <w:rsid w:val="00AA09CE"/>
    <w:rsid w:val="00AA347C"/>
    <w:rsid w:val="00AC0442"/>
    <w:rsid w:val="00AC36FC"/>
    <w:rsid w:val="00AC6DF8"/>
    <w:rsid w:val="00AD18BC"/>
    <w:rsid w:val="00AD2D86"/>
    <w:rsid w:val="00AD76E9"/>
    <w:rsid w:val="00AE64E7"/>
    <w:rsid w:val="00AF1E0C"/>
    <w:rsid w:val="00B0168C"/>
    <w:rsid w:val="00B03842"/>
    <w:rsid w:val="00B04663"/>
    <w:rsid w:val="00B06374"/>
    <w:rsid w:val="00B06F88"/>
    <w:rsid w:val="00B10C22"/>
    <w:rsid w:val="00B23D7B"/>
    <w:rsid w:val="00B24290"/>
    <w:rsid w:val="00B26612"/>
    <w:rsid w:val="00B27070"/>
    <w:rsid w:val="00B40082"/>
    <w:rsid w:val="00B407F6"/>
    <w:rsid w:val="00B44E7B"/>
    <w:rsid w:val="00B45C7F"/>
    <w:rsid w:val="00B505E1"/>
    <w:rsid w:val="00B57BEF"/>
    <w:rsid w:val="00B60662"/>
    <w:rsid w:val="00B60A97"/>
    <w:rsid w:val="00B77202"/>
    <w:rsid w:val="00B85B4E"/>
    <w:rsid w:val="00B94CC6"/>
    <w:rsid w:val="00BA6262"/>
    <w:rsid w:val="00BB5989"/>
    <w:rsid w:val="00BB61A1"/>
    <w:rsid w:val="00BD0EE4"/>
    <w:rsid w:val="00BD1BD5"/>
    <w:rsid w:val="00BD2951"/>
    <w:rsid w:val="00BD6B47"/>
    <w:rsid w:val="00BE5D18"/>
    <w:rsid w:val="00BF1B57"/>
    <w:rsid w:val="00BF2A58"/>
    <w:rsid w:val="00C02274"/>
    <w:rsid w:val="00C04F28"/>
    <w:rsid w:val="00C12369"/>
    <w:rsid w:val="00C16169"/>
    <w:rsid w:val="00C17D6C"/>
    <w:rsid w:val="00C254CC"/>
    <w:rsid w:val="00C26BF5"/>
    <w:rsid w:val="00C27CFF"/>
    <w:rsid w:val="00C34B9E"/>
    <w:rsid w:val="00C34E6B"/>
    <w:rsid w:val="00C51AAD"/>
    <w:rsid w:val="00C5309C"/>
    <w:rsid w:val="00C542D6"/>
    <w:rsid w:val="00C56C42"/>
    <w:rsid w:val="00C64982"/>
    <w:rsid w:val="00C778F2"/>
    <w:rsid w:val="00C821D8"/>
    <w:rsid w:val="00C93F5F"/>
    <w:rsid w:val="00C940D2"/>
    <w:rsid w:val="00C9598C"/>
    <w:rsid w:val="00CB42E9"/>
    <w:rsid w:val="00CB575D"/>
    <w:rsid w:val="00CB58F7"/>
    <w:rsid w:val="00CB7E0E"/>
    <w:rsid w:val="00CC2A93"/>
    <w:rsid w:val="00CD0F3A"/>
    <w:rsid w:val="00CD28DE"/>
    <w:rsid w:val="00CD2DE0"/>
    <w:rsid w:val="00CD64D0"/>
    <w:rsid w:val="00CD67DF"/>
    <w:rsid w:val="00CE1143"/>
    <w:rsid w:val="00D06102"/>
    <w:rsid w:val="00D15E7A"/>
    <w:rsid w:val="00D25588"/>
    <w:rsid w:val="00D25D60"/>
    <w:rsid w:val="00D276A6"/>
    <w:rsid w:val="00D311B5"/>
    <w:rsid w:val="00D439B2"/>
    <w:rsid w:val="00D43D64"/>
    <w:rsid w:val="00D453A7"/>
    <w:rsid w:val="00D51F94"/>
    <w:rsid w:val="00D57A2E"/>
    <w:rsid w:val="00D603F4"/>
    <w:rsid w:val="00D63EE6"/>
    <w:rsid w:val="00D66ABD"/>
    <w:rsid w:val="00D675DA"/>
    <w:rsid w:val="00D911BA"/>
    <w:rsid w:val="00D92C79"/>
    <w:rsid w:val="00D9373F"/>
    <w:rsid w:val="00D969B3"/>
    <w:rsid w:val="00DA215C"/>
    <w:rsid w:val="00DA221F"/>
    <w:rsid w:val="00DB1EB1"/>
    <w:rsid w:val="00DC32DA"/>
    <w:rsid w:val="00DC4C5B"/>
    <w:rsid w:val="00DC5C37"/>
    <w:rsid w:val="00DD1855"/>
    <w:rsid w:val="00DD5DC6"/>
    <w:rsid w:val="00E01712"/>
    <w:rsid w:val="00E05F69"/>
    <w:rsid w:val="00E07FF3"/>
    <w:rsid w:val="00E11071"/>
    <w:rsid w:val="00E2664D"/>
    <w:rsid w:val="00E4407D"/>
    <w:rsid w:val="00E4458F"/>
    <w:rsid w:val="00E52B6E"/>
    <w:rsid w:val="00E52FBF"/>
    <w:rsid w:val="00E66E1D"/>
    <w:rsid w:val="00E67684"/>
    <w:rsid w:val="00E71061"/>
    <w:rsid w:val="00E80E37"/>
    <w:rsid w:val="00E83E7A"/>
    <w:rsid w:val="00E8671F"/>
    <w:rsid w:val="00E91853"/>
    <w:rsid w:val="00EA2687"/>
    <w:rsid w:val="00EA6388"/>
    <w:rsid w:val="00EB5813"/>
    <w:rsid w:val="00EB5991"/>
    <w:rsid w:val="00EC0BD7"/>
    <w:rsid w:val="00EC229F"/>
    <w:rsid w:val="00EC2E9F"/>
    <w:rsid w:val="00EC32FB"/>
    <w:rsid w:val="00EC6077"/>
    <w:rsid w:val="00EC73D7"/>
    <w:rsid w:val="00EE1956"/>
    <w:rsid w:val="00EE28BA"/>
    <w:rsid w:val="00EE469B"/>
    <w:rsid w:val="00EE628D"/>
    <w:rsid w:val="00EE7129"/>
    <w:rsid w:val="00EF069B"/>
    <w:rsid w:val="00F25EF6"/>
    <w:rsid w:val="00F34F3C"/>
    <w:rsid w:val="00F52D53"/>
    <w:rsid w:val="00F544A5"/>
    <w:rsid w:val="00F54500"/>
    <w:rsid w:val="00F555E7"/>
    <w:rsid w:val="00F55F72"/>
    <w:rsid w:val="00F66BEC"/>
    <w:rsid w:val="00F75A20"/>
    <w:rsid w:val="00F848D2"/>
    <w:rsid w:val="00F92FC3"/>
    <w:rsid w:val="00FA43E3"/>
    <w:rsid w:val="00FB3E90"/>
    <w:rsid w:val="00FC4606"/>
    <w:rsid w:val="00FC57C9"/>
    <w:rsid w:val="00FC6FC5"/>
    <w:rsid w:val="00FD355A"/>
    <w:rsid w:val="00FE1B1B"/>
    <w:rsid w:val="00FF2066"/>
    <w:rsid w:val="00FF6855"/>
    <w:rsid w:val="01103C2D"/>
    <w:rsid w:val="01771147"/>
    <w:rsid w:val="017B0C26"/>
    <w:rsid w:val="02B5534E"/>
    <w:rsid w:val="052D3D7F"/>
    <w:rsid w:val="06581505"/>
    <w:rsid w:val="09645213"/>
    <w:rsid w:val="09685416"/>
    <w:rsid w:val="09F72F28"/>
    <w:rsid w:val="0B3A0CC8"/>
    <w:rsid w:val="0B3A5309"/>
    <w:rsid w:val="0C5D1021"/>
    <w:rsid w:val="0D404281"/>
    <w:rsid w:val="0DF7118C"/>
    <w:rsid w:val="0E992CF7"/>
    <w:rsid w:val="0F595F8D"/>
    <w:rsid w:val="10135986"/>
    <w:rsid w:val="12284950"/>
    <w:rsid w:val="131531D0"/>
    <w:rsid w:val="144D6B10"/>
    <w:rsid w:val="149548ED"/>
    <w:rsid w:val="14C227AD"/>
    <w:rsid w:val="15504BE4"/>
    <w:rsid w:val="15A36363"/>
    <w:rsid w:val="15CD4330"/>
    <w:rsid w:val="161502E1"/>
    <w:rsid w:val="166C4F0C"/>
    <w:rsid w:val="16B33C44"/>
    <w:rsid w:val="174C58AB"/>
    <w:rsid w:val="17560276"/>
    <w:rsid w:val="17AF353E"/>
    <w:rsid w:val="17CE5331"/>
    <w:rsid w:val="18CE64F9"/>
    <w:rsid w:val="1ADB5CF4"/>
    <w:rsid w:val="1AE1010F"/>
    <w:rsid w:val="1B6D3919"/>
    <w:rsid w:val="1CDD4268"/>
    <w:rsid w:val="1D2B3BE6"/>
    <w:rsid w:val="1D6C7DA2"/>
    <w:rsid w:val="1DBC3905"/>
    <w:rsid w:val="1E6965A5"/>
    <w:rsid w:val="20D92E92"/>
    <w:rsid w:val="20DB5060"/>
    <w:rsid w:val="20F83F39"/>
    <w:rsid w:val="214E5067"/>
    <w:rsid w:val="221F243F"/>
    <w:rsid w:val="226C6050"/>
    <w:rsid w:val="2291656E"/>
    <w:rsid w:val="235A3C9D"/>
    <w:rsid w:val="238B4600"/>
    <w:rsid w:val="247077ED"/>
    <w:rsid w:val="25C06A15"/>
    <w:rsid w:val="26181E05"/>
    <w:rsid w:val="263A6E56"/>
    <w:rsid w:val="26735442"/>
    <w:rsid w:val="26BB3CDC"/>
    <w:rsid w:val="27064718"/>
    <w:rsid w:val="281713B7"/>
    <w:rsid w:val="28AD3857"/>
    <w:rsid w:val="28D06C96"/>
    <w:rsid w:val="2B093796"/>
    <w:rsid w:val="2BB80850"/>
    <w:rsid w:val="2C0C6B47"/>
    <w:rsid w:val="2D684463"/>
    <w:rsid w:val="2D904DCB"/>
    <w:rsid w:val="2DAE0720"/>
    <w:rsid w:val="2E337997"/>
    <w:rsid w:val="2E7B3F25"/>
    <w:rsid w:val="301C5EFF"/>
    <w:rsid w:val="30A5355B"/>
    <w:rsid w:val="32681793"/>
    <w:rsid w:val="32FD3405"/>
    <w:rsid w:val="33AF4BFE"/>
    <w:rsid w:val="3419255C"/>
    <w:rsid w:val="34D14FD3"/>
    <w:rsid w:val="34DA5D80"/>
    <w:rsid w:val="35266B05"/>
    <w:rsid w:val="360748F4"/>
    <w:rsid w:val="36135E1D"/>
    <w:rsid w:val="37314C08"/>
    <w:rsid w:val="383F0445"/>
    <w:rsid w:val="3881072C"/>
    <w:rsid w:val="38843971"/>
    <w:rsid w:val="38D255A3"/>
    <w:rsid w:val="3A561F12"/>
    <w:rsid w:val="3AAA5D6E"/>
    <w:rsid w:val="3B213B3E"/>
    <w:rsid w:val="3B5B19DC"/>
    <w:rsid w:val="3CD74A5B"/>
    <w:rsid w:val="3CE66FE7"/>
    <w:rsid w:val="3CFC2184"/>
    <w:rsid w:val="3E29117A"/>
    <w:rsid w:val="3F135832"/>
    <w:rsid w:val="40235A3C"/>
    <w:rsid w:val="40525E7F"/>
    <w:rsid w:val="406452E3"/>
    <w:rsid w:val="41282731"/>
    <w:rsid w:val="41614FF9"/>
    <w:rsid w:val="426022F4"/>
    <w:rsid w:val="43994EE9"/>
    <w:rsid w:val="450704A8"/>
    <w:rsid w:val="4523532C"/>
    <w:rsid w:val="45871CE5"/>
    <w:rsid w:val="46992BA1"/>
    <w:rsid w:val="470A3908"/>
    <w:rsid w:val="47B12A9E"/>
    <w:rsid w:val="4898795D"/>
    <w:rsid w:val="49A4628C"/>
    <w:rsid w:val="4A5D2A12"/>
    <w:rsid w:val="4A9A6E9C"/>
    <w:rsid w:val="4AF7118E"/>
    <w:rsid w:val="4AFB201B"/>
    <w:rsid w:val="4B7C315C"/>
    <w:rsid w:val="4E5E2FEC"/>
    <w:rsid w:val="50594C8D"/>
    <w:rsid w:val="50771952"/>
    <w:rsid w:val="50A9595A"/>
    <w:rsid w:val="51AC6A7C"/>
    <w:rsid w:val="51DC55E1"/>
    <w:rsid w:val="51F64B35"/>
    <w:rsid w:val="52011F96"/>
    <w:rsid w:val="525A1060"/>
    <w:rsid w:val="53927AD7"/>
    <w:rsid w:val="55F433FC"/>
    <w:rsid w:val="567A473C"/>
    <w:rsid w:val="572C2811"/>
    <w:rsid w:val="57597410"/>
    <w:rsid w:val="58166B89"/>
    <w:rsid w:val="594B257F"/>
    <w:rsid w:val="594C6F74"/>
    <w:rsid w:val="5A3F7E68"/>
    <w:rsid w:val="5AFD2064"/>
    <w:rsid w:val="5B1022E5"/>
    <w:rsid w:val="5CA00C74"/>
    <w:rsid w:val="5D9E3405"/>
    <w:rsid w:val="5DB87C28"/>
    <w:rsid w:val="5DCF5EE5"/>
    <w:rsid w:val="5DF10D77"/>
    <w:rsid w:val="5E784CED"/>
    <w:rsid w:val="5EE412EC"/>
    <w:rsid w:val="5F81308F"/>
    <w:rsid w:val="5FDD7856"/>
    <w:rsid w:val="60C56E94"/>
    <w:rsid w:val="61163643"/>
    <w:rsid w:val="611F702C"/>
    <w:rsid w:val="61AF44FD"/>
    <w:rsid w:val="62031B9C"/>
    <w:rsid w:val="64A353F6"/>
    <w:rsid w:val="64DC7470"/>
    <w:rsid w:val="664B5161"/>
    <w:rsid w:val="66576F74"/>
    <w:rsid w:val="66E32901"/>
    <w:rsid w:val="67CF5C06"/>
    <w:rsid w:val="684B5A5C"/>
    <w:rsid w:val="685329F2"/>
    <w:rsid w:val="686A495D"/>
    <w:rsid w:val="68CE3D26"/>
    <w:rsid w:val="692E0BC7"/>
    <w:rsid w:val="6B3338DB"/>
    <w:rsid w:val="6B7C4000"/>
    <w:rsid w:val="6BE75EA1"/>
    <w:rsid w:val="6BEC782A"/>
    <w:rsid w:val="6C387FD8"/>
    <w:rsid w:val="6CDF60CB"/>
    <w:rsid w:val="6E05444A"/>
    <w:rsid w:val="6E6650B6"/>
    <w:rsid w:val="6E6A2EB2"/>
    <w:rsid w:val="6F295489"/>
    <w:rsid w:val="6F3E24A5"/>
    <w:rsid w:val="6F7C6456"/>
    <w:rsid w:val="707F0076"/>
    <w:rsid w:val="719C06EE"/>
    <w:rsid w:val="72863341"/>
    <w:rsid w:val="7441133B"/>
    <w:rsid w:val="75104791"/>
    <w:rsid w:val="757C00E3"/>
    <w:rsid w:val="75CF00D4"/>
    <w:rsid w:val="770E0755"/>
    <w:rsid w:val="771602DC"/>
    <w:rsid w:val="785C4C8F"/>
    <w:rsid w:val="78E322DE"/>
    <w:rsid w:val="7B072253"/>
    <w:rsid w:val="7B8C49A8"/>
    <w:rsid w:val="7D1166A7"/>
    <w:rsid w:val="7D8712FD"/>
    <w:rsid w:val="7EB87D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460" w:lineRule="exact"/>
      <w:ind w:firstLine="200" w:firstLineChars="200"/>
    </w:pPr>
    <w:rPr>
      <w:rFonts w:ascii="Times New Roman" w:hAnsi="Times New Roman" w:eastAsia="宋体" w:cs="Times New Roman"/>
      <w:sz w:val="24"/>
      <w:lang w:val="en-US" w:eastAsia="zh-CN" w:bidi="ar-SA"/>
    </w:rPr>
  </w:style>
  <w:style w:type="paragraph" w:styleId="2">
    <w:name w:val="heading 1"/>
    <w:basedOn w:val="1"/>
    <w:next w:val="1"/>
    <w:link w:val="21"/>
    <w:autoRedefine/>
    <w:qFormat/>
    <w:uiPriority w:val="0"/>
    <w:pPr>
      <w:keepNext/>
      <w:keepLines/>
      <w:widowControl w:val="0"/>
      <w:spacing w:before="340" w:after="330" w:line="578" w:lineRule="auto"/>
      <w:ind w:firstLine="0" w:firstLineChars="0"/>
      <w:jc w:val="both"/>
      <w:outlineLvl w:val="0"/>
    </w:pPr>
    <w:rPr>
      <w:b/>
      <w:bCs/>
      <w:kern w:val="44"/>
      <w:sz w:val="44"/>
      <w:szCs w:val="44"/>
    </w:rPr>
  </w:style>
  <w:style w:type="paragraph" w:styleId="3">
    <w:name w:val="heading 2"/>
    <w:basedOn w:val="1"/>
    <w:next w:val="1"/>
    <w:link w:val="22"/>
    <w:autoRedefine/>
    <w:qFormat/>
    <w:uiPriority w:val="0"/>
    <w:pPr>
      <w:keepNext/>
      <w:keepLines/>
      <w:widowControl w:val="0"/>
      <w:spacing w:before="260" w:after="260" w:line="416" w:lineRule="auto"/>
      <w:ind w:firstLine="0" w:firstLineChars="0"/>
      <w:jc w:val="both"/>
      <w:outlineLvl w:val="1"/>
    </w:pPr>
    <w:rPr>
      <w:rFonts w:ascii="Arial" w:hAnsi="Arial" w:eastAsia="黑体"/>
      <w:b/>
      <w:bCs/>
      <w:kern w:val="2"/>
      <w:sz w:val="32"/>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toa heading"/>
    <w:basedOn w:val="1"/>
    <w:next w:val="1"/>
    <w:autoRedefine/>
    <w:qFormat/>
    <w:uiPriority w:val="0"/>
    <w:pPr>
      <w:spacing w:before="120"/>
    </w:pPr>
    <w:rPr>
      <w:rFonts w:ascii="Arial" w:hAnsi="Arial" w:cs="Arial"/>
    </w:rPr>
  </w:style>
  <w:style w:type="paragraph" w:styleId="5">
    <w:name w:val="annotation text"/>
    <w:basedOn w:val="1"/>
    <w:link w:val="29"/>
    <w:autoRedefine/>
    <w:semiHidden/>
    <w:unhideWhenUsed/>
    <w:qFormat/>
    <w:uiPriority w:val="99"/>
    <w:pPr>
      <w:widowControl w:val="0"/>
      <w:spacing w:line="240" w:lineRule="auto"/>
      <w:ind w:firstLine="0" w:firstLineChars="0"/>
    </w:pPr>
    <w:rPr>
      <w:kern w:val="2"/>
      <w:sz w:val="21"/>
      <w:szCs w:val="24"/>
    </w:rPr>
  </w:style>
  <w:style w:type="paragraph" w:styleId="6">
    <w:name w:val="Body Text Indent"/>
    <w:basedOn w:val="1"/>
    <w:autoRedefine/>
    <w:qFormat/>
    <w:uiPriority w:val="99"/>
    <w:pPr>
      <w:ind w:firstLine="225" w:firstLineChars="225"/>
    </w:pPr>
    <w:rPr>
      <w:rFonts w:ascii="仿宋_GB2312" w:eastAsia="仿宋_GB2312"/>
      <w:sz w:val="32"/>
    </w:rPr>
  </w:style>
  <w:style w:type="paragraph" w:styleId="7">
    <w:name w:val="Plain Text"/>
    <w:basedOn w:val="1"/>
    <w:link w:val="26"/>
    <w:autoRedefine/>
    <w:qFormat/>
    <w:uiPriority w:val="99"/>
    <w:pPr>
      <w:widowControl w:val="0"/>
      <w:spacing w:line="240" w:lineRule="auto"/>
      <w:ind w:firstLine="0" w:firstLineChars="0"/>
      <w:jc w:val="both"/>
    </w:pPr>
    <w:rPr>
      <w:rFonts w:ascii="宋体" w:hAnsi="Courier New" w:cs="Courier New"/>
      <w:kern w:val="2"/>
      <w:sz w:val="21"/>
      <w:szCs w:val="21"/>
    </w:rPr>
  </w:style>
  <w:style w:type="paragraph" w:styleId="8">
    <w:name w:val="Date"/>
    <w:basedOn w:val="1"/>
    <w:next w:val="1"/>
    <w:link w:val="24"/>
    <w:autoRedefine/>
    <w:semiHidden/>
    <w:unhideWhenUsed/>
    <w:qFormat/>
    <w:uiPriority w:val="99"/>
    <w:pPr>
      <w:ind w:left="100" w:leftChars="2500"/>
    </w:pPr>
  </w:style>
  <w:style w:type="paragraph" w:styleId="9">
    <w:name w:val="Balloon Text"/>
    <w:basedOn w:val="1"/>
    <w:link w:val="30"/>
    <w:autoRedefine/>
    <w:semiHidden/>
    <w:unhideWhenUsed/>
    <w:qFormat/>
    <w:uiPriority w:val="99"/>
    <w:pPr>
      <w:spacing w:line="240" w:lineRule="auto"/>
    </w:pPr>
    <w:rPr>
      <w:sz w:val="18"/>
      <w:szCs w:val="18"/>
    </w:rPr>
  </w:style>
  <w:style w:type="paragraph" w:styleId="10">
    <w:name w:val="footer"/>
    <w:basedOn w:val="1"/>
    <w:link w:val="20"/>
    <w:autoRedefine/>
    <w:semiHidden/>
    <w:unhideWhenUsed/>
    <w:qFormat/>
    <w:uiPriority w:val="99"/>
    <w:pPr>
      <w:tabs>
        <w:tab w:val="center" w:pos="4153"/>
        <w:tab w:val="right" w:pos="8306"/>
      </w:tabs>
      <w:snapToGrid w:val="0"/>
    </w:pPr>
    <w:rPr>
      <w:rFonts w:ascii="Calibri" w:hAnsi="Calibri"/>
      <w:sz w:val="18"/>
      <w:szCs w:val="18"/>
    </w:rPr>
  </w:style>
  <w:style w:type="paragraph" w:styleId="11">
    <w:name w:val="header"/>
    <w:basedOn w:val="1"/>
    <w:link w:val="19"/>
    <w:autoRedefine/>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12">
    <w:name w:val="Normal (Web)"/>
    <w:basedOn w:val="1"/>
    <w:autoRedefine/>
    <w:qFormat/>
    <w:uiPriority w:val="99"/>
    <w:pPr>
      <w:widowControl/>
      <w:spacing w:before="100" w:beforeAutospacing="1" w:after="100" w:afterAutospacing="1"/>
      <w:jc w:val="left"/>
    </w:pPr>
    <w:rPr>
      <w:rFonts w:ascii="宋体"/>
      <w:kern w:val="0"/>
      <w:sz w:val="24"/>
      <w:szCs w:val="20"/>
    </w:rPr>
  </w:style>
  <w:style w:type="paragraph" w:styleId="13">
    <w:name w:val="Body Text First Indent 2"/>
    <w:basedOn w:val="6"/>
    <w:autoRedefine/>
    <w:qFormat/>
    <w:uiPriority w:val="0"/>
    <w:pPr>
      <w:spacing w:after="120"/>
      <w:ind w:left="200" w:leftChars="200" w:firstLine="200" w:firstLineChars="200"/>
    </w:pPr>
    <w:rPr>
      <w:rFonts w:ascii="Times New Roman" w:hAnsi="Times New Roman"/>
      <w:kern w:val="0"/>
      <w:sz w:val="24"/>
      <w:szCs w:val="24"/>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Emphasis"/>
    <w:basedOn w:val="16"/>
    <w:autoRedefine/>
    <w:qFormat/>
    <w:uiPriority w:val="20"/>
    <w:rPr>
      <w:i/>
    </w:rPr>
  </w:style>
  <w:style w:type="character" w:styleId="18">
    <w:name w:val="annotation reference"/>
    <w:basedOn w:val="16"/>
    <w:autoRedefine/>
    <w:semiHidden/>
    <w:unhideWhenUsed/>
    <w:qFormat/>
    <w:uiPriority w:val="99"/>
    <w:rPr>
      <w:sz w:val="21"/>
      <w:szCs w:val="21"/>
    </w:rPr>
  </w:style>
  <w:style w:type="character" w:customStyle="1" w:styleId="19">
    <w:name w:val="页眉 Char1"/>
    <w:basedOn w:val="16"/>
    <w:link w:val="11"/>
    <w:autoRedefine/>
    <w:semiHidden/>
    <w:qFormat/>
    <w:uiPriority w:val="99"/>
    <w:rPr>
      <w:rFonts w:ascii="Calibri" w:hAnsi="Calibri" w:eastAsia="宋体" w:cs="Times New Roman"/>
      <w:kern w:val="0"/>
      <w:sz w:val="18"/>
      <w:szCs w:val="18"/>
    </w:rPr>
  </w:style>
  <w:style w:type="character" w:customStyle="1" w:styleId="20">
    <w:name w:val="页脚 Char"/>
    <w:basedOn w:val="16"/>
    <w:link w:val="10"/>
    <w:autoRedefine/>
    <w:semiHidden/>
    <w:qFormat/>
    <w:uiPriority w:val="99"/>
    <w:rPr>
      <w:rFonts w:ascii="Calibri" w:hAnsi="Calibri" w:eastAsia="宋体" w:cs="Times New Roman"/>
      <w:kern w:val="0"/>
      <w:sz w:val="18"/>
      <w:szCs w:val="18"/>
    </w:rPr>
  </w:style>
  <w:style w:type="character" w:customStyle="1" w:styleId="21">
    <w:name w:val="标题 1 Char"/>
    <w:basedOn w:val="16"/>
    <w:link w:val="2"/>
    <w:autoRedefine/>
    <w:qFormat/>
    <w:uiPriority w:val="0"/>
    <w:rPr>
      <w:b/>
      <w:bCs/>
      <w:kern w:val="44"/>
      <w:sz w:val="44"/>
      <w:szCs w:val="44"/>
    </w:rPr>
  </w:style>
  <w:style w:type="character" w:customStyle="1" w:styleId="22">
    <w:name w:val="标题 2 Char"/>
    <w:basedOn w:val="16"/>
    <w:link w:val="3"/>
    <w:autoRedefine/>
    <w:qFormat/>
    <w:uiPriority w:val="0"/>
    <w:rPr>
      <w:rFonts w:ascii="Arial" w:hAnsi="Arial" w:eastAsia="黑体"/>
      <w:b/>
      <w:bCs/>
      <w:kern w:val="2"/>
      <w:sz w:val="32"/>
      <w:szCs w:val="32"/>
    </w:rPr>
  </w:style>
  <w:style w:type="paragraph" w:styleId="23">
    <w:name w:val="List Paragraph"/>
    <w:basedOn w:val="1"/>
    <w:autoRedefine/>
    <w:unhideWhenUsed/>
    <w:qFormat/>
    <w:uiPriority w:val="99"/>
    <w:pPr>
      <w:ind w:firstLine="420"/>
    </w:pPr>
  </w:style>
  <w:style w:type="character" w:customStyle="1" w:styleId="24">
    <w:name w:val="日期 Char"/>
    <w:basedOn w:val="16"/>
    <w:link w:val="8"/>
    <w:autoRedefine/>
    <w:semiHidden/>
    <w:qFormat/>
    <w:uiPriority w:val="99"/>
    <w:rPr>
      <w:sz w:val="24"/>
    </w:rPr>
  </w:style>
  <w:style w:type="paragraph" w:customStyle="1" w:styleId="25">
    <w:name w:val="列出段落1"/>
    <w:basedOn w:val="1"/>
    <w:autoRedefine/>
    <w:qFormat/>
    <w:uiPriority w:val="99"/>
    <w:pPr>
      <w:widowControl w:val="0"/>
      <w:spacing w:line="240" w:lineRule="auto"/>
      <w:ind w:firstLine="420"/>
      <w:jc w:val="both"/>
    </w:pPr>
    <w:rPr>
      <w:kern w:val="2"/>
      <w:sz w:val="21"/>
      <w:szCs w:val="24"/>
    </w:rPr>
  </w:style>
  <w:style w:type="character" w:customStyle="1" w:styleId="26">
    <w:name w:val="纯文本 Char"/>
    <w:basedOn w:val="16"/>
    <w:link w:val="7"/>
    <w:autoRedefine/>
    <w:qFormat/>
    <w:uiPriority w:val="99"/>
    <w:rPr>
      <w:rFonts w:ascii="宋体" w:hAnsi="Courier New" w:cs="Courier New"/>
      <w:kern w:val="2"/>
      <w:sz w:val="21"/>
      <w:szCs w:val="21"/>
    </w:rPr>
  </w:style>
  <w:style w:type="character" w:customStyle="1" w:styleId="27">
    <w:name w:val="页眉 Char"/>
    <w:autoRedefine/>
    <w:qFormat/>
    <w:locked/>
    <w:uiPriority w:val="99"/>
    <w:rPr>
      <w:rFonts w:eastAsia="宋体" w:cs="Times New Roman"/>
      <w:kern w:val="2"/>
      <w:sz w:val="18"/>
      <w:szCs w:val="18"/>
      <w:lang w:val="en-US" w:eastAsia="zh-CN" w:bidi="ar-SA"/>
    </w:rPr>
  </w:style>
  <w:style w:type="paragraph" w:customStyle="1" w:styleId="2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9">
    <w:name w:val="批注文字 Char"/>
    <w:basedOn w:val="16"/>
    <w:link w:val="5"/>
    <w:autoRedefine/>
    <w:semiHidden/>
    <w:qFormat/>
    <w:uiPriority w:val="99"/>
    <w:rPr>
      <w:kern w:val="2"/>
      <w:sz w:val="21"/>
      <w:szCs w:val="24"/>
    </w:rPr>
  </w:style>
  <w:style w:type="character" w:customStyle="1" w:styleId="30">
    <w:name w:val="批注框文本 Char"/>
    <w:basedOn w:val="16"/>
    <w:link w:val="9"/>
    <w:autoRedefine/>
    <w:semiHidden/>
    <w:qFormat/>
    <w:uiPriority w:val="99"/>
    <w:rPr>
      <w:sz w:val="18"/>
      <w:szCs w:val="18"/>
    </w:rPr>
  </w:style>
  <w:style w:type="character" w:customStyle="1" w:styleId="31">
    <w:name w:val="font31"/>
    <w:basedOn w:val="16"/>
    <w:autoRedefine/>
    <w:qFormat/>
    <w:uiPriority w:val="0"/>
    <w:rPr>
      <w:rFonts w:hint="default" w:ascii="Calibri" w:hAnsi="Calibri" w:cs="Calibri"/>
      <w:color w:val="000000"/>
      <w:sz w:val="24"/>
      <w:szCs w:val="24"/>
      <w:u w:val="none"/>
      <w:vertAlign w:val="superscript"/>
    </w:rPr>
  </w:style>
  <w:style w:type="character" w:customStyle="1" w:styleId="32">
    <w:name w:val="font21"/>
    <w:basedOn w:val="16"/>
    <w:autoRedefine/>
    <w:qFormat/>
    <w:uiPriority w:val="0"/>
    <w:rPr>
      <w:rFonts w:hint="default" w:ascii="Calibri" w:hAnsi="Calibri" w:cs="Calibri"/>
      <w:color w:val="000000"/>
      <w:sz w:val="24"/>
      <w:szCs w:val="24"/>
      <w:u w:val="none"/>
    </w:rPr>
  </w:style>
  <w:style w:type="character" w:customStyle="1" w:styleId="33">
    <w:name w:val="font01"/>
    <w:basedOn w:val="16"/>
    <w:autoRedefine/>
    <w:qFormat/>
    <w:uiPriority w:val="0"/>
    <w:rPr>
      <w:rFonts w:hint="eastAsia" w:ascii="宋体" w:hAnsi="宋体" w:eastAsia="宋体" w:cs="宋体"/>
      <w:color w:val="000000"/>
      <w:sz w:val="24"/>
      <w:szCs w:val="24"/>
      <w:u w:val="none"/>
    </w:rPr>
  </w:style>
  <w:style w:type="paragraph" w:customStyle="1" w:styleId="34">
    <w:name w:val="Normal_0"/>
    <w:autoRedefine/>
    <w:qFormat/>
    <w:uiPriority w:val="0"/>
    <w:rPr>
      <w:rFonts w:ascii="黑体" w:hAnsi="黑体" w:eastAsia="黑体" w:cs="Times New Roman"/>
      <w:b/>
      <w:sz w:val="32"/>
      <w:szCs w:val="24"/>
      <w:lang w:bidi="ar-SA"/>
    </w:rPr>
  </w:style>
  <w:style w:type="paragraph" w:customStyle="1" w:styleId="35">
    <w:name w:val="Normal_20"/>
    <w:autoRedefine/>
    <w:qFormat/>
    <w:uiPriority w:val="0"/>
    <w:rPr>
      <w:rFonts w:ascii="Times New Roman" w:hAnsi="Times New Roman" w:eastAsia="Times New Roman" w:cs="Times New Roman"/>
      <w:sz w:val="24"/>
      <w:szCs w:val="24"/>
      <w:lang w:bidi="ar-SA"/>
    </w:rPr>
  </w:style>
  <w:style w:type="paragraph" w:customStyle="1" w:styleId="36">
    <w:name w:val="Table Paragraph"/>
    <w:basedOn w:val="1"/>
    <w:autoRedefine/>
    <w:qFormat/>
    <w:uiPriority w:val="99"/>
    <w:rPr>
      <w:rFonts w:ascii="宋体" w:hAnsi="宋体" w:eastAsia="宋体"/>
      <w:kern w:val="0"/>
      <w:sz w:val="28"/>
      <w:szCs w:val="28"/>
    </w:rPr>
  </w:style>
  <w:style w:type="paragraph" w:customStyle="1" w:styleId="37">
    <w:name w:val="Normal_19"/>
    <w:autoRedefine/>
    <w:qFormat/>
    <w:uiPriority w:val="0"/>
    <w:pPr>
      <w:widowControl w:val="0"/>
      <w:jc w:val="both"/>
    </w:pPr>
    <w:rPr>
      <w:rFonts w:ascii="Calibri" w:hAnsi="Calibri" w:eastAsia="宋体" w:cs="Times New Roman"/>
      <w:lang w:val="en-US" w:eastAsia="zh-CN" w:bidi="ar-SA"/>
    </w:rPr>
  </w:style>
  <w:style w:type="paragraph" w:customStyle="1" w:styleId="38">
    <w:name w:val="正文_2"/>
    <w:autoRedefine/>
    <w:qFormat/>
    <w:uiPriority w:val="0"/>
    <w:pPr>
      <w:widowControl w:val="0"/>
      <w:jc w:val="both"/>
    </w:pPr>
    <w:rPr>
      <w:rFonts w:ascii="Calibri" w:hAnsi="Calibri" w:eastAsia="宋体" w:cs="Times New Roman"/>
      <w:lang w:val="en-US" w:eastAsia="zh-CN" w:bidi="ar-SA"/>
    </w:rPr>
  </w:style>
  <w:style w:type="paragraph" w:customStyle="1" w:styleId="39">
    <w:name w:val="List Paragraph_0"/>
    <w:basedOn w:val="1"/>
    <w:autoRedefine/>
    <w:qFormat/>
    <w:uiPriority w:val="0"/>
    <w:pPr>
      <w:widowControl/>
      <w:spacing w:after="200" w:line="320" w:lineRule="exact"/>
      <w:ind w:firstLine="420" w:firstLineChars="200"/>
      <w:jc w:val="left"/>
    </w:pPr>
    <w:rPr>
      <w:szCs w:val="24"/>
    </w:rPr>
  </w:style>
  <w:style w:type="paragraph" w:customStyle="1" w:styleId="40">
    <w:name w:val="Normal_0_3"/>
    <w:autoRedefine/>
    <w:qFormat/>
    <w:uiPriority w:val="0"/>
    <w:rPr>
      <w:rFonts w:ascii="黑体" w:hAnsi="黑体" w:eastAsia="黑体" w:cs="Times New Roman"/>
      <w:b/>
      <w:sz w:val="32"/>
      <w:szCs w:val="24"/>
      <w:lang w:bidi="ar-SA"/>
    </w:rPr>
  </w:style>
  <w:style w:type="paragraph" w:customStyle="1" w:styleId="41">
    <w:name w:val="正文_16"/>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Normal_0_2"/>
    <w:autoRedefine/>
    <w:qFormat/>
    <w:uiPriority w:val="0"/>
    <w:rPr>
      <w:rFonts w:ascii="黑体" w:hAnsi="黑体" w:eastAsia="黑体" w:cs="Times New Roman"/>
      <w:b/>
      <w:sz w:val="32"/>
      <w:szCs w:val="24"/>
      <w:lang w:bidi="ar-SA"/>
    </w:rPr>
  </w:style>
  <w:style w:type="paragraph" w:customStyle="1" w:styleId="43">
    <w:name w:val="Normal_0_1"/>
    <w:autoRedefine/>
    <w:qFormat/>
    <w:uiPriority w:val="0"/>
    <w:rPr>
      <w:rFonts w:ascii="黑体" w:hAnsi="黑体" w:eastAsia="黑体" w:cs="Times New Roman"/>
      <w:b/>
      <w:sz w:val="32"/>
      <w:szCs w:val="24"/>
      <w:lang w:bidi="ar-SA"/>
    </w:rPr>
  </w:style>
  <w:style w:type="paragraph" w:customStyle="1" w:styleId="44">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5">
    <w:name w:val="Normal_1_1"/>
    <w:autoRedefine/>
    <w:qFormat/>
    <w:uiPriority w:val="0"/>
    <w:rPr>
      <w:rFonts w:ascii="黑体" w:hAnsi="黑体" w:eastAsia="黑体" w:cs="Times New Roman"/>
      <w:b/>
      <w:sz w:val="32"/>
      <w:szCs w:val="24"/>
      <w:lang w:bidi="ar-SA"/>
    </w:rPr>
  </w:style>
  <w:style w:type="paragraph" w:customStyle="1" w:styleId="46">
    <w:name w:val="正文_0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47">
    <w:name w:val="Normal_2_0"/>
    <w:autoRedefine/>
    <w:qFormat/>
    <w:uiPriority w:val="0"/>
    <w:rPr>
      <w:rFonts w:ascii="黑体" w:hAnsi="黑体" w:eastAsia="黑体" w:cs="Times New Roman"/>
      <w:b/>
      <w:sz w:val="32"/>
      <w:szCs w:val="24"/>
      <w:lang w:bidi="ar-SA"/>
    </w:rPr>
  </w:style>
  <w:style w:type="paragraph" w:customStyle="1" w:styleId="48">
    <w:name w:val="Normal_5_0"/>
    <w:autoRedefine/>
    <w:qFormat/>
    <w:uiPriority w:val="0"/>
    <w:pPr>
      <w:widowControl w:val="0"/>
      <w:jc w:val="both"/>
    </w:pPr>
    <w:rPr>
      <w:rFonts w:ascii="Calibri" w:hAnsi="Calibri" w:eastAsia="宋体" w:cs="Times New Roman"/>
      <w:kern w:val="2"/>
      <w:sz w:val="21"/>
      <w:szCs w:val="22"/>
      <w:lang w:bidi="ar-SA"/>
    </w:rPr>
  </w:style>
  <w:style w:type="paragraph" w:customStyle="1" w:styleId="49">
    <w:name w:val="Normal_6_0"/>
    <w:autoRedefine/>
    <w:qFormat/>
    <w:uiPriority w:val="0"/>
    <w:rPr>
      <w:rFonts w:ascii="黑体" w:hAnsi="黑体" w:eastAsia="黑体" w:cs="Times New Roman"/>
      <w:b/>
      <w:sz w:val="32"/>
      <w:szCs w:val="24"/>
      <w:lang w:bidi="ar-SA"/>
    </w:rPr>
  </w:style>
  <w:style w:type="paragraph" w:customStyle="1" w:styleId="50">
    <w:name w:val="正文_1_0_0"/>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1">
    <w:name w:val="正文_0_0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正文_1_0_0_0"/>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3">
    <w:name w:val="Normal_7_0"/>
    <w:autoRedefine/>
    <w:qFormat/>
    <w:uiPriority w:val="0"/>
    <w:rPr>
      <w:rFonts w:ascii="黑体" w:hAnsi="黑体" w:eastAsia="黑体" w:cs="Times New Roman"/>
      <w:b/>
      <w:sz w:val="32"/>
      <w:szCs w:val="24"/>
      <w:lang w:bidi="ar-SA"/>
    </w:rPr>
  </w:style>
  <w:style w:type="paragraph" w:customStyle="1" w:styleId="54">
    <w:name w:val="Normal_8_0"/>
    <w:autoRedefine/>
    <w:qFormat/>
    <w:uiPriority w:val="0"/>
    <w:rPr>
      <w:rFonts w:ascii="Times New Roman" w:hAnsi="Times New Roman" w:eastAsia="Times New Roman" w:cs="Times New Roman"/>
      <w:sz w:val="24"/>
      <w:szCs w:val="24"/>
      <w:lang w:bidi="ar-SA"/>
    </w:rPr>
  </w:style>
  <w:style w:type="paragraph" w:customStyle="1" w:styleId="55">
    <w:name w:val="Normal_9_0"/>
    <w:autoRedefine/>
    <w:qFormat/>
    <w:uiPriority w:val="0"/>
    <w:rPr>
      <w:rFonts w:ascii="Times New Roman" w:hAnsi="Times New Roman" w:eastAsia="Times New Roman" w:cs="Times New Roman"/>
      <w:sz w:val="24"/>
      <w:szCs w:val="24"/>
      <w:lang w:bidi="ar-SA"/>
    </w:rPr>
  </w:style>
  <w:style w:type="paragraph" w:customStyle="1" w:styleId="56">
    <w:name w:val="Normal_10_0"/>
    <w:autoRedefine/>
    <w:qFormat/>
    <w:uiPriority w:val="0"/>
    <w:rPr>
      <w:rFonts w:ascii="黑体" w:hAnsi="黑体" w:eastAsia="黑体" w:cs="Times New Roman"/>
      <w:b/>
      <w:sz w:val="32"/>
      <w:szCs w:val="24"/>
      <w:lang w:bidi="ar-SA"/>
    </w:rPr>
  </w:style>
  <w:style w:type="paragraph" w:customStyle="1" w:styleId="57">
    <w:name w:val="正文_4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59">
    <w:name w:val="正文文本缩进_0"/>
    <w:basedOn w:val="38"/>
    <w:autoRedefine/>
    <w:unhideWhenUsed/>
    <w:qFormat/>
    <w:uiPriority w:val="0"/>
    <w:pPr>
      <w:spacing w:before="240" w:line="360" w:lineRule="auto"/>
      <w:ind w:firstLine="552" w:firstLineChars="263"/>
    </w:pPr>
    <w:rPr>
      <w:rFonts w:ascii="宋体" w:hAnsi="宋体" w:eastAsia="Times New Roman"/>
      <w:szCs w:val="20"/>
    </w:rPr>
  </w:style>
  <w:style w:type="paragraph" w:customStyle="1" w:styleId="60">
    <w:name w:val="Normal_11_0"/>
    <w:autoRedefine/>
    <w:qFormat/>
    <w:uiPriority w:val="0"/>
    <w:pPr>
      <w:widowControl w:val="0"/>
      <w:jc w:val="both"/>
    </w:pPr>
    <w:rPr>
      <w:rFonts w:ascii="Calibri" w:hAnsi="Calibri" w:eastAsia="宋体" w:cs="Times New Roman"/>
      <w:kern w:val="2"/>
      <w:sz w:val="21"/>
      <w:szCs w:val="22"/>
      <w:lang w:bidi="ar-SA"/>
    </w:rPr>
  </w:style>
  <w:style w:type="paragraph" w:customStyle="1" w:styleId="61">
    <w:name w:val="Normal_12_0"/>
    <w:autoRedefine/>
    <w:qFormat/>
    <w:uiPriority w:val="0"/>
    <w:rPr>
      <w:rFonts w:ascii="黑体" w:hAnsi="黑体" w:eastAsia="黑体" w:cs="Times New Roman"/>
      <w:b/>
      <w:sz w:val="32"/>
      <w:szCs w:val="24"/>
      <w:lang w:bidi="ar-SA"/>
    </w:rPr>
  </w:style>
  <w:style w:type="paragraph" w:customStyle="1" w:styleId="62">
    <w:name w:val="正文_7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3">
    <w:name w:val="纯文本_0_0"/>
    <w:basedOn w:val="62"/>
    <w:autoRedefine/>
    <w:unhideWhenUsed/>
    <w:qFormat/>
    <w:uiPriority w:val="0"/>
    <w:rPr>
      <w:rFonts w:ascii="宋体" w:hAnsi="Courier New" w:eastAsia="宋体"/>
      <w:szCs w:val="21"/>
    </w:rPr>
  </w:style>
  <w:style w:type="paragraph" w:customStyle="1" w:styleId="64">
    <w:name w:val="Normal_13_0"/>
    <w:autoRedefine/>
    <w:qFormat/>
    <w:uiPriority w:val="0"/>
    <w:rPr>
      <w:rFonts w:ascii="黑体" w:hAnsi="黑体" w:eastAsia="黑体" w:cs="Times New Roman"/>
      <w:b/>
      <w:sz w:val="32"/>
      <w:szCs w:val="24"/>
      <w:lang w:bidi="ar-SA"/>
    </w:rPr>
  </w:style>
  <w:style w:type="paragraph" w:customStyle="1" w:styleId="65">
    <w:name w:val="Normal_14_0"/>
    <w:autoRedefine/>
    <w:qFormat/>
    <w:uiPriority w:val="0"/>
    <w:rPr>
      <w:rFonts w:ascii="黑体" w:hAnsi="黑体" w:eastAsia="黑体" w:cs="Times New Roman"/>
      <w:b/>
      <w:sz w:val="32"/>
      <w:szCs w:val="24"/>
      <w:lang w:bidi="ar-SA"/>
    </w:rPr>
  </w:style>
  <w:style w:type="paragraph" w:customStyle="1" w:styleId="66">
    <w:name w:val="正文_1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Normal_16_0"/>
    <w:autoRedefine/>
    <w:qFormat/>
    <w:uiPriority w:val="0"/>
    <w:rPr>
      <w:rFonts w:ascii="黑体" w:hAnsi="黑体" w:eastAsia="黑体" w:cs="Times New Roman"/>
      <w:b/>
      <w:sz w:val="32"/>
      <w:szCs w:val="24"/>
      <w:lang w:bidi="ar-SA"/>
    </w:rPr>
  </w:style>
  <w:style w:type="paragraph" w:customStyle="1" w:styleId="68">
    <w:name w:val="正文_8_2"/>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9">
    <w:name w:val="正文_14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0">
    <w:name w:val="Normal_15_0"/>
    <w:autoRedefine/>
    <w:qFormat/>
    <w:uiPriority w:val="0"/>
    <w:rPr>
      <w:rFonts w:ascii="黑体" w:hAnsi="黑体" w:eastAsia="黑体" w:cs="Times New Roman"/>
      <w:b/>
      <w:sz w:val="32"/>
      <w:szCs w:val="24"/>
      <w:lang w:bidi="ar-SA"/>
    </w:rPr>
  </w:style>
  <w:style w:type="paragraph" w:customStyle="1" w:styleId="71">
    <w:name w:val="正文_6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72">
    <w:name w:val="正文_9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3">
    <w:name w:val="Normal_14_0_0"/>
    <w:autoRedefine/>
    <w:qFormat/>
    <w:uiPriority w:val="0"/>
    <w:rPr>
      <w:rFonts w:ascii="黑体" w:hAnsi="黑体" w:eastAsia="黑体" w:cs="Times New Roman"/>
      <w:b/>
      <w:sz w:val="32"/>
      <w:szCs w:val="24"/>
      <w:lang w:bidi="ar-SA"/>
    </w:rPr>
  </w:style>
  <w:style w:type="paragraph" w:customStyle="1" w:styleId="74">
    <w:name w:val="正文_12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5">
    <w:name w:val="正文_12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6">
    <w:name w:val="Normal_17_0"/>
    <w:autoRedefine/>
    <w:qFormat/>
    <w:uiPriority w:val="0"/>
    <w:rPr>
      <w:rFonts w:ascii="黑体" w:hAnsi="黑体" w:eastAsia="黑体" w:cs="Times New Roman"/>
      <w:b/>
      <w:sz w:val="32"/>
      <w:szCs w:val="24"/>
      <w:lang w:bidi="ar-SA"/>
    </w:rPr>
  </w:style>
  <w:style w:type="paragraph" w:customStyle="1" w:styleId="77">
    <w:name w:val="正文_11_0"/>
    <w:autoRedefi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E38DC6-B011-4435-8DF4-AF36673F2E58}">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16</Pages>
  <Words>1765</Words>
  <Characters>10066</Characters>
  <Lines>83</Lines>
  <Paragraphs>23</Paragraphs>
  <TotalTime>12</TotalTime>
  <ScaleCrop>false</ScaleCrop>
  <LinksUpToDate>false</LinksUpToDate>
  <CharactersWithSpaces>11808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2022-01-15T12:44:00Z</dcterms:created>
  <dc:creator>a</dc:creator>
  <cp:lastModifiedBy>Darren</cp:lastModifiedBy>
  <cp:lastPrinted>2024-01-26T04:26:00Z</cp:lastPrinted>
  <dcterms:modified xsi:type="dcterms:W3CDTF">2024-02-01T06:02:04Z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337AFD65D2C2463C804C1022AF433519_13</vt:lpwstr>
  </property>
</Properties>
</file>