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auto"/>
        <w:ind w:firstLine="0" w:firstLineChars="0"/>
        <w:jc w:val="center"/>
        <w:rPr>
          <w:rFonts w:ascii="宋体" w:hAnsi="宋体" w:cs="宋体"/>
          <w:b/>
          <w:color w:val="auto"/>
          <w:sz w:val="44"/>
          <w:szCs w:val="44"/>
          <w:highlight w:val="none"/>
        </w:rPr>
      </w:pPr>
    </w:p>
    <w:p>
      <w:pPr>
        <w:pStyle w:val="6"/>
        <w:spacing w:line="360" w:lineRule="auto"/>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江苏省水利建设工程有限公司</w:t>
      </w:r>
    </w:p>
    <w:p>
      <w:pPr>
        <w:adjustRightInd w:val="0"/>
        <w:snapToGrid w:val="0"/>
        <w:spacing w:line="480" w:lineRule="auto"/>
        <w:ind w:firstLine="0" w:firstLineChars="0"/>
        <w:jc w:val="center"/>
        <w:rPr>
          <w:rFonts w:ascii="宋体" w:hAnsi="宋体" w:cs="宋体"/>
          <w:b/>
          <w:color w:val="auto"/>
          <w:sz w:val="44"/>
          <w:szCs w:val="44"/>
          <w:highlight w:val="none"/>
        </w:rPr>
      </w:pPr>
    </w:p>
    <w:p>
      <w:pPr>
        <w:snapToGrid w:val="0"/>
        <w:ind w:firstLine="723"/>
        <w:rPr>
          <w:rFonts w:ascii="宋体" w:hAnsi="宋体"/>
          <w:b/>
          <w:color w:val="auto"/>
          <w:sz w:val="36"/>
          <w:szCs w:val="36"/>
          <w:highlight w:val="none"/>
        </w:rPr>
      </w:pPr>
      <w:r>
        <w:rPr>
          <w:rFonts w:ascii="宋体" w:hAnsi="宋体" w:cs="宋体"/>
          <w:color w:val="auto"/>
          <w:szCs w:val="24"/>
          <w:highlight w:val="none"/>
        </w:rPr>
        <w:drawing>
          <wp:anchor distT="0" distB="0" distL="114300" distR="114300" simplePos="0" relativeHeight="251659264" behindDoc="1" locked="0" layoutInCell="1" allowOverlap="1">
            <wp:simplePos x="0" y="0"/>
            <wp:positionH relativeFrom="column">
              <wp:posOffset>2016760</wp:posOffset>
            </wp:positionH>
            <wp:positionV relativeFrom="paragraph">
              <wp:posOffset>141605</wp:posOffset>
            </wp:positionV>
            <wp:extent cx="2018665" cy="1719580"/>
            <wp:effectExtent l="0" t="0" r="0" b="13970"/>
            <wp:wrapNone/>
            <wp:docPr id="1"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HE"/>
                    <pic:cNvPicPr>
                      <a:picLocks noChangeAspect="1"/>
                    </pic:cNvPicPr>
                  </pic:nvPicPr>
                  <pic:blipFill>
                    <a:blip r:embed="rId12"/>
                    <a:stretch>
                      <a:fillRect/>
                    </a:stretch>
                  </pic:blipFill>
                  <pic:spPr>
                    <a:xfrm>
                      <a:off x="0" y="0"/>
                      <a:ext cx="2018665" cy="1719580"/>
                    </a:xfrm>
                    <a:prstGeom prst="rect">
                      <a:avLst/>
                    </a:prstGeom>
                    <a:noFill/>
                    <a:ln>
                      <a:noFill/>
                    </a:ln>
                  </pic:spPr>
                </pic:pic>
              </a:graphicData>
            </a:graphic>
          </wp:anchor>
        </w:drawing>
      </w:r>
    </w:p>
    <w:p>
      <w:pPr>
        <w:pStyle w:val="2"/>
        <w:ind w:firstLine="723"/>
        <w:rPr>
          <w:rFonts w:ascii="宋体" w:hAnsi="宋体"/>
          <w:b/>
          <w:color w:val="auto"/>
          <w:sz w:val="36"/>
          <w:szCs w:val="36"/>
          <w:highlight w:val="none"/>
        </w:rPr>
      </w:pPr>
    </w:p>
    <w:p>
      <w:pPr>
        <w:ind w:firstLine="480"/>
        <w:rPr>
          <w:rFonts w:ascii="宋体" w:hAnsi="宋体"/>
          <w:color w:val="auto"/>
          <w:highlight w:val="none"/>
        </w:rPr>
      </w:pPr>
    </w:p>
    <w:p>
      <w:pPr>
        <w:snapToGrid w:val="0"/>
        <w:ind w:firstLine="723"/>
        <w:rPr>
          <w:rFonts w:ascii="宋体" w:hAnsi="宋体"/>
          <w:b/>
          <w:color w:val="auto"/>
          <w:sz w:val="36"/>
          <w:szCs w:val="36"/>
          <w:highlight w:val="none"/>
        </w:rPr>
      </w:pPr>
    </w:p>
    <w:p>
      <w:pPr>
        <w:adjustRightInd w:val="0"/>
        <w:snapToGrid w:val="0"/>
        <w:spacing w:line="480" w:lineRule="auto"/>
        <w:ind w:firstLine="880"/>
        <w:jc w:val="center"/>
        <w:rPr>
          <w:rFonts w:ascii="宋体" w:hAnsi="宋体" w:cs="宋体"/>
          <w:bCs/>
          <w:color w:val="auto"/>
          <w:sz w:val="44"/>
          <w:szCs w:val="44"/>
          <w:highlight w:val="none"/>
        </w:rPr>
      </w:pPr>
    </w:p>
    <w:p>
      <w:pPr>
        <w:pStyle w:val="2"/>
        <w:ind w:firstLine="480"/>
        <w:rPr>
          <w:color w:val="auto"/>
          <w:highlight w:val="none"/>
        </w:rPr>
      </w:pPr>
    </w:p>
    <w:p>
      <w:pPr>
        <w:adjustRightInd w:val="0"/>
        <w:snapToGrid w:val="0"/>
        <w:spacing w:line="480" w:lineRule="auto"/>
        <w:ind w:firstLine="0" w:firstLineChars="0"/>
        <w:jc w:val="center"/>
        <w:rPr>
          <w:rFonts w:ascii="宋体" w:hAnsi="宋体" w:cs="宋体"/>
          <w:b/>
          <w:color w:val="auto"/>
          <w:sz w:val="52"/>
          <w:szCs w:val="52"/>
          <w:highlight w:val="none"/>
        </w:rPr>
      </w:pPr>
      <w:r>
        <w:rPr>
          <w:rFonts w:hint="eastAsia" w:ascii="宋体" w:hAnsi="宋体" w:cs="宋体"/>
          <w:b/>
          <w:color w:val="auto"/>
          <w:sz w:val="52"/>
          <w:szCs w:val="52"/>
          <w:highlight w:val="none"/>
        </w:rPr>
        <w:t>招 标 文 件</w:t>
      </w:r>
    </w:p>
    <w:p>
      <w:pPr>
        <w:adjustRightInd w:val="0"/>
        <w:snapToGrid w:val="0"/>
        <w:spacing w:line="480" w:lineRule="auto"/>
        <w:ind w:firstLine="643"/>
        <w:rPr>
          <w:rFonts w:ascii="宋体" w:hAnsi="宋体"/>
          <w:b/>
          <w:color w:val="auto"/>
          <w:sz w:val="32"/>
          <w:szCs w:val="32"/>
          <w:highlight w:val="none"/>
        </w:rPr>
      </w:pPr>
    </w:p>
    <w:p>
      <w:pPr>
        <w:pStyle w:val="2"/>
        <w:ind w:firstLine="643"/>
        <w:rPr>
          <w:rFonts w:ascii="宋体" w:hAnsi="宋体"/>
          <w:b/>
          <w:color w:val="auto"/>
          <w:sz w:val="32"/>
          <w:szCs w:val="32"/>
          <w:highlight w:val="none"/>
        </w:rPr>
      </w:pPr>
    </w:p>
    <w:p>
      <w:pPr>
        <w:ind w:firstLine="643"/>
        <w:rPr>
          <w:rFonts w:ascii="宋体" w:hAnsi="宋体"/>
          <w:b/>
          <w:color w:val="auto"/>
          <w:sz w:val="32"/>
          <w:szCs w:val="32"/>
          <w:highlight w:val="none"/>
        </w:rPr>
      </w:pPr>
    </w:p>
    <w:p>
      <w:pPr>
        <w:snapToGrid w:val="0"/>
        <w:spacing w:before="240" w:line="360" w:lineRule="auto"/>
        <w:ind w:firstLine="482"/>
        <w:rPr>
          <w:rFonts w:hint="eastAsia" w:ascii="宋体" w:hAnsi="宋体" w:eastAsia="宋体" w:cs="宋体-18030"/>
          <w:b/>
          <w:bCs/>
          <w:color w:val="auto"/>
          <w:szCs w:val="24"/>
          <w:highlight w:val="none"/>
        </w:rPr>
      </w:pPr>
    </w:p>
    <w:p>
      <w:pPr>
        <w:snapToGrid w:val="0"/>
        <w:spacing w:before="240" w:line="360" w:lineRule="auto"/>
        <w:ind w:firstLine="482"/>
        <w:rPr>
          <w:rFonts w:hint="eastAsia" w:ascii="宋体" w:hAnsi="宋体" w:eastAsia="宋体" w:cs="宋体-18030"/>
          <w:b/>
          <w:bCs/>
          <w:color w:val="auto"/>
          <w:szCs w:val="24"/>
          <w:highlight w:val="none"/>
        </w:rPr>
      </w:pPr>
      <w:r>
        <w:rPr>
          <w:rFonts w:hint="eastAsia" w:ascii="宋体" w:hAnsi="宋体" w:eastAsia="宋体" w:cs="宋体-18030"/>
          <w:b/>
          <w:bCs/>
          <w:color w:val="auto"/>
          <w:szCs w:val="24"/>
          <w:highlight w:val="none"/>
        </w:rPr>
        <w:t>招标项目：淮河入海水道二期滨海枢纽工程土建施工及设备安装</w:t>
      </w:r>
    </w:p>
    <w:p>
      <w:pPr>
        <w:snapToGrid w:val="0"/>
        <w:spacing w:before="240" w:line="360" w:lineRule="auto"/>
        <w:ind w:firstLine="482"/>
        <w:rPr>
          <w:rFonts w:hint="default" w:ascii="宋体" w:hAnsi="宋体" w:eastAsia="宋体" w:cs="宋体-18030"/>
          <w:b/>
          <w:bCs/>
          <w:color w:val="auto"/>
          <w:szCs w:val="24"/>
          <w:highlight w:val="none"/>
          <w:lang w:val="en-US" w:eastAsia="zh-CN"/>
        </w:rPr>
      </w:pPr>
      <w:r>
        <w:rPr>
          <w:rFonts w:hint="eastAsia" w:ascii="宋体" w:hAnsi="宋体" w:eastAsia="宋体" w:cs="宋体-18030"/>
          <w:b/>
          <w:bCs/>
          <w:color w:val="auto"/>
          <w:szCs w:val="24"/>
          <w:highlight w:val="none"/>
          <w:lang w:val="en-US" w:eastAsia="zh-CN"/>
        </w:rPr>
        <w:t>招标人：</w:t>
      </w:r>
      <w:r>
        <w:rPr>
          <w:rFonts w:hint="eastAsia" w:ascii="宋体" w:hAnsi="宋体" w:eastAsia="宋体" w:cs="宋体-18030"/>
          <w:b/>
          <w:bCs/>
          <w:color w:val="auto"/>
          <w:szCs w:val="24"/>
          <w:highlight w:val="none"/>
        </w:rPr>
        <w:t>江苏省水利建设工程有限公司</w:t>
      </w:r>
    </w:p>
    <w:p>
      <w:pPr>
        <w:snapToGrid w:val="0"/>
        <w:spacing w:before="240" w:line="360" w:lineRule="auto"/>
        <w:ind w:firstLine="482"/>
        <w:rPr>
          <w:rFonts w:hint="eastAsia" w:ascii="宋体" w:hAnsi="宋体" w:eastAsia="宋体" w:cs="宋体-18030"/>
          <w:b/>
          <w:bCs/>
          <w:color w:val="auto"/>
          <w:szCs w:val="24"/>
          <w:highlight w:val="none"/>
        </w:rPr>
      </w:pPr>
      <w:r>
        <w:rPr>
          <w:rFonts w:hint="eastAsia" w:ascii="宋体" w:hAnsi="宋体" w:eastAsia="宋体" w:cs="宋体-18030"/>
          <w:b/>
          <w:bCs/>
          <w:color w:val="auto"/>
          <w:szCs w:val="24"/>
          <w:highlight w:val="none"/>
        </w:rPr>
        <w:t>现场管理机构：江苏省水利建设工程有限公司淮河入海水道二期滨海枢纽工程土建施工及设备安装项目经理部</w:t>
      </w:r>
    </w:p>
    <w:p>
      <w:pPr>
        <w:snapToGrid w:val="0"/>
        <w:spacing w:before="240" w:line="360" w:lineRule="auto"/>
        <w:ind w:firstLine="482"/>
        <w:rPr>
          <w:rFonts w:ascii="宋体" w:hAnsi="宋体" w:cs="宋体-18030"/>
          <w:b/>
          <w:bCs/>
          <w:color w:val="auto"/>
          <w:szCs w:val="24"/>
          <w:highlight w:val="none"/>
        </w:rPr>
      </w:pPr>
      <w:r>
        <w:rPr>
          <w:rFonts w:hint="eastAsia" w:ascii="宋体" w:hAnsi="宋体" w:cs="宋体-18030"/>
          <w:b/>
          <w:bCs/>
          <w:color w:val="auto"/>
          <w:szCs w:val="24"/>
          <w:highlight w:val="none"/>
        </w:rPr>
        <w:t>编制日期：</w:t>
      </w:r>
      <w:r>
        <w:rPr>
          <w:rFonts w:hint="eastAsia" w:ascii="宋体" w:hAnsi="宋体" w:cs="宋体-18030"/>
          <w:b/>
          <w:bCs/>
          <w:color w:val="auto"/>
          <w:szCs w:val="24"/>
          <w:highlight w:val="none"/>
          <w:u w:val="single"/>
        </w:rPr>
        <w:t>2024年0</w:t>
      </w:r>
      <w:r>
        <w:rPr>
          <w:rFonts w:hint="eastAsia" w:ascii="宋体" w:hAnsi="宋体" w:cs="宋体-18030"/>
          <w:b/>
          <w:bCs/>
          <w:color w:val="auto"/>
          <w:szCs w:val="24"/>
          <w:highlight w:val="none"/>
          <w:u w:val="single"/>
          <w:lang w:val="en-US" w:eastAsia="zh-CN"/>
        </w:rPr>
        <w:t>5</w:t>
      </w:r>
      <w:r>
        <w:rPr>
          <w:rFonts w:hint="eastAsia" w:ascii="宋体" w:hAnsi="宋体" w:cs="宋体-18030"/>
          <w:b/>
          <w:bCs/>
          <w:color w:val="auto"/>
          <w:szCs w:val="24"/>
          <w:highlight w:val="none"/>
          <w:u w:val="single"/>
        </w:rPr>
        <w:t>月</w:t>
      </w:r>
      <w:r>
        <w:rPr>
          <w:rFonts w:hint="eastAsia" w:ascii="宋体" w:hAnsi="宋体" w:cs="宋体-18030"/>
          <w:b/>
          <w:bCs/>
          <w:color w:val="auto"/>
          <w:szCs w:val="24"/>
          <w:highlight w:val="none"/>
          <w:u w:val="single"/>
          <w:lang w:val="en-US" w:eastAsia="zh-CN"/>
        </w:rPr>
        <w:t>16</w:t>
      </w:r>
      <w:r>
        <w:rPr>
          <w:rFonts w:hint="eastAsia" w:ascii="宋体" w:hAnsi="宋体" w:cs="宋体-18030"/>
          <w:b/>
          <w:bCs/>
          <w:color w:val="auto"/>
          <w:szCs w:val="24"/>
          <w:highlight w:val="none"/>
          <w:u w:val="single"/>
        </w:rPr>
        <w:t>日</w:t>
      </w:r>
    </w:p>
    <w:p>
      <w:pPr>
        <w:snapToGrid w:val="0"/>
        <w:spacing w:line="240" w:lineRule="auto"/>
        <w:ind w:firstLine="0" w:firstLineChars="0"/>
        <w:jc w:val="center"/>
        <w:rPr>
          <w:rFonts w:ascii="宋体" w:hAnsi="宋体" w:eastAsia="宋体" w:cs="宋体"/>
          <w:b/>
          <w:bCs/>
          <w:color w:val="auto"/>
          <w:spacing w:val="-6"/>
          <w:sz w:val="36"/>
          <w:szCs w:val="24"/>
          <w:highlight w:val="none"/>
        </w:rPr>
      </w:pPr>
      <w:r>
        <w:rPr>
          <w:rFonts w:hint="eastAsia" w:ascii="宋体" w:hAnsi="宋体" w:eastAsia="宋体" w:cs="宋体"/>
          <w:b/>
          <w:bCs/>
          <w:color w:val="auto"/>
          <w:spacing w:val="-6"/>
          <w:sz w:val="36"/>
          <w:szCs w:val="24"/>
          <w:highlight w:val="none"/>
        </w:rPr>
        <w:t>招</w:t>
      </w:r>
      <w:r>
        <w:rPr>
          <w:rFonts w:hint="eastAsia" w:ascii="宋体" w:hAnsi="宋体" w:cs="宋体"/>
          <w:b/>
          <w:bCs/>
          <w:color w:val="auto"/>
          <w:spacing w:val="-6"/>
          <w:sz w:val="36"/>
          <w:szCs w:val="24"/>
          <w:highlight w:val="none"/>
          <w:lang w:val="en-US" w:eastAsia="zh-CN"/>
        </w:rPr>
        <w:t xml:space="preserve"> </w:t>
      </w:r>
      <w:r>
        <w:rPr>
          <w:rFonts w:hint="eastAsia" w:ascii="宋体" w:hAnsi="宋体" w:eastAsia="宋体" w:cs="宋体"/>
          <w:b/>
          <w:bCs/>
          <w:color w:val="auto"/>
          <w:spacing w:val="-6"/>
          <w:sz w:val="36"/>
          <w:szCs w:val="24"/>
          <w:highlight w:val="none"/>
        </w:rPr>
        <w:t>标</w:t>
      </w:r>
      <w:r>
        <w:rPr>
          <w:rFonts w:hint="eastAsia" w:ascii="宋体" w:hAnsi="宋体" w:cs="宋体"/>
          <w:b/>
          <w:bCs/>
          <w:color w:val="auto"/>
          <w:spacing w:val="-6"/>
          <w:sz w:val="36"/>
          <w:szCs w:val="24"/>
          <w:highlight w:val="none"/>
          <w:lang w:val="en-US" w:eastAsia="zh-CN"/>
        </w:rPr>
        <w:t xml:space="preserve"> </w:t>
      </w:r>
      <w:r>
        <w:rPr>
          <w:rFonts w:hint="eastAsia" w:ascii="宋体" w:hAnsi="宋体" w:eastAsia="宋体" w:cs="宋体"/>
          <w:b/>
          <w:bCs/>
          <w:color w:val="auto"/>
          <w:spacing w:val="-6"/>
          <w:sz w:val="36"/>
          <w:szCs w:val="24"/>
          <w:highlight w:val="none"/>
        </w:rPr>
        <w:t>公</w:t>
      </w:r>
      <w:r>
        <w:rPr>
          <w:rFonts w:hint="eastAsia" w:ascii="宋体" w:hAnsi="宋体" w:cs="宋体"/>
          <w:b/>
          <w:bCs/>
          <w:color w:val="auto"/>
          <w:spacing w:val="-6"/>
          <w:sz w:val="36"/>
          <w:szCs w:val="24"/>
          <w:highlight w:val="none"/>
          <w:lang w:val="en-US" w:eastAsia="zh-CN"/>
        </w:rPr>
        <w:t xml:space="preserve"> </w:t>
      </w:r>
      <w:r>
        <w:rPr>
          <w:rFonts w:hint="eastAsia" w:ascii="宋体" w:hAnsi="宋体" w:eastAsia="宋体" w:cs="宋体"/>
          <w:b/>
          <w:bCs/>
          <w:color w:val="auto"/>
          <w:spacing w:val="-6"/>
          <w:sz w:val="36"/>
          <w:szCs w:val="24"/>
          <w:highlight w:val="none"/>
        </w:rPr>
        <w:t>告</w:t>
      </w:r>
    </w:p>
    <w:p>
      <w:pPr>
        <w:snapToGrid w:val="0"/>
        <w:spacing w:line="440" w:lineRule="exact"/>
        <w:ind w:firstLine="456"/>
        <w:rPr>
          <w:rFonts w:hint="eastAsia" w:ascii="宋体" w:hAnsi="宋体" w:eastAsia="宋体" w:cs="宋体"/>
          <w:color w:val="auto"/>
          <w:spacing w:val="-6"/>
          <w:highlight w:val="none"/>
        </w:rPr>
      </w:pPr>
    </w:p>
    <w:p>
      <w:pPr>
        <w:keepNext w:val="0"/>
        <w:keepLines w:val="0"/>
        <w:pageBreakBefore w:val="0"/>
        <w:widowControl/>
        <w:kinsoku/>
        <w:wordWrap/>
        <w:overflowPunct/>
        <w:topLinePunct w:val="0"/>
        <w:autoSpaceDE/>
        <w:autoSpaceDN/>
        <w:bidi w:val="0"/>
        <w:adjustRightInd/>
        <w:snapToGrid w:val="0"/>
        <w:spacing w:line="312" w:lineRule="auto"/>
        <w:ind w:firstLine="456"/>
        <w:textAlignment w:val="auto"/>
        <w:rPr>
          <w:rFonts w:hint="default" w:ascii="宋体" w:hAnsi="宋体" w:eastAsia="宋体" w:cs="宋体"/>
          <w:b/>
          <w:bCs/>
          <w:color w:val="auto"/>
          <w:spacing w:val="-6"/>
          <w:highlight w:val="none"/>
          <w:lang w:val="en-US" w:eastAsia="zh-CN"/>
        </w:rPr>
      </w:pPr>
      <w:r>
        <w:rPr>
          <w:rFonts w:hint="eastAsia" w:ascii="宋体" w:hAnsi="宋体" w:eastAsia="宋体" w:cs="宋体"/>
          <w:color w:val="auto"/>
          <w:spacing w:val="-6"/>
          <w:highlight w:val="none"/>
        </w:rPr>
        <w:t>我公司2023年</w:t>
      </w:r>
      <w:r>
        <w:rPr>
          <w:rFonts w:hint="eastAsia" w:ascii="宋体" w:hAnsi="宋体" w:cs="宋体"/>
          <w:color w:val="auto"/>
          <w:spacing w:val="-6"/>
          <w:highlight w:val="none"/>
          <w:lang w:val="en-US" w:eastAsia="zh-CN"/>
        </w:rPr>
        <w:t>12</w:t>
      </w:r>
      <w:r>
        <w:rPr>
          <w:rFonts w:hint="eastAsia" w:ascii="宋体" w:hAnsi="宋体" w:eastAsia="宋体" w:cs="宋体"/>
          <w:color w:val="auto"/>
          <w:spacing w:val="-6"/>
          <w:highlight w:val="none"/>
        </w:rPr>
        <w:t>月份中标承建了</w:t>
      </w:r>
      <w:r>
        <w:rPr>
          <w:rFonts w:hint="eastAsia" w:ascii="Times New Roman" w:hAnsi="Times New Roman"/>
          <w:b/>
          <w:bCs/>
          <w:color w:val="auto"/>
          <w:szCs w:val="21"/>
          <w:highlight w:val="none"/>
          <w:u w:val="single"/>
        </w:rPr>
        <w:t>淮河入海水道二期滨海枢纽工程土建施工及设备安装</w:t>
      </w:r>
      <w:r>
        <w:rPr>
          <w:rFonts w:hint="eastAsia"/>
          <w:b/>
          <w:bCs/>
          <w:color w:val="auto"/>
          <w:szCs w:val="21"/>
          <w:highlight w:val="none"/>
          <w:u w:val="none"/>
          <w:lang w:val="en-US" w:eastAsia="zh-CN"/>
        </w:rPr>
        <w:t>工程</w:t>
      </w:r>
      <w:r>
        <w:rPr>
          <w:rFonts w:hint="eastAsia" w:ascii="宋体" w:hAnsi="宋体" w:eastAsia="宋体" w:cs="宋体"/>
          <w:color w:val="auto"/>
          <w:spacing w:val="-6"/>
          <w:highlight w:val="none"/>
        </w:rPr>
        <w:t>，为保证优质、高效、安全地完成施工任务，现决定对该项目</w:t>
      </w:r>
      <w:r>
        <w:rPr>
          <w:rFonts w:hint="eastAsia" w:ascii="宋体" w:hAnsi="宋体" w:cs="宋体"/>
          <w:b/>
          <w:bCs/>
          <w:color w:val="auto"/>
          <w:spacing w:val="-6"/>
          <w:highlight w:val="none"/>
          <w:u w:val="single"/>
          <w:lang w:val="en-US" w:eastAsia="zh-CN"/>
        </w:rPr>
        <w:t>北船闸、南船闸、桥梁</w:t>
      </w:r>
      <w:r>
        <w:rPr>
          <w:rFonts w:hint="eastAsia" w:ascii="宋体" w:hAnsi="宋体" w:eastAsia="宋体" w:cs="宋体"/>
          <w:color w:val="auto"/>
          <w:spacing w:val="-6"/>
          <w:highlight w:val="none"/>
        </w:rPr>
        <w:t>使用的钢材进行公开招标，欢迎新老客户参加竞标。</w:t>
      </w:r>
      <w:bookmarkStart w:id="0" w:name="_Toc13095"/>
      <w:bookmarkStart w:id="1" w:name="_Toc374458968"/>
      <w:bookmarkStart w:id="2" w:name="_Toc211244988"/>
    </w:p>
    <w:bookmarkEnd w:id="0"/>
    <w:bookmarkEnd w:id="1"/>
    <w:bookmarkEnd w:id="2"/>
    <w:p>
      <w:pPr>
        <w:keepNext w:val="0"/>
        <w:keepLines w:val="0"/>
        <w:pageBreakBefore w:val="0"/>
        <w:widowControl/>
        <w:kinsoku/>
        <w:wordWrap/>
        <w:overflowPunct/>
        <w:topLinePunct w:val="0"/>
        <w:autoSpaceDE/>
        <w:autoSpaceDN/>
        <w:bidi w:val="0"/>
        <w:adjustRightInd/>
        <w:snapToGrid w:val="0"/>
        <w:spacing w:line="312" w:lineRule="auto"/>
        <w:ind w:firstLine="482"/>
        <w:textAlignment w:val="auto"/>
        <w:outlineLvl w:val="0"/>
        <w:rPr>
          <w:rFonts w:ascii="宋体" w:hAnsi="宋体" w:eastAsia="宋体" w:cs="宋体"/>
          <w:b/>
          <w:color w:val="auto"/>
          <w:highlight w:val="none"/>
        </w:rPr>
      </w:pPr>
      <w:bookmarkStart w:id="3" w:name="_Toc211244991"/>
      <w:r>
        <w:rPr>
          <w:rFonts w:hint="eastAsia" w:ascii="宋体" w:hAnsi="宋体" w:eastAsia="宋体" w:cs="宋体"/>
          <w:b/>
          <w:color w:val="auto"/>
          <w:highlight w:val="none"/>
        </w:rPr>
        <w:t>一、工程及送货地点</w:t>
      </w:r>
    </w:p>
    <w:p>
      <w:pPr>
        <w:keepNext w:val="0"/>
        <w:keepLines w:val="0"/>
        <w:pageBreakBefore w:val="0"/>
        <w:widowControl/>
        <w:kinsoku/>
        <w:wordWrap/>
        <w:overflowPunct/>
        <w:topLinePunct w:val="0"/>
        <w:autoSpaceDE/>
        <w:autoSpaceDN/>
        <w:bidi w:val="0"/>
        <w:adjustRightInd/>
        <w:snapToGrid w:val="0"/>
        <w:spacing w:line="312" w:lineRule="auto"/>
        <w:ind w:firstLine="482"/>
        <w:textAlignment w:val="auto"/>
        <w:rPr>
          <w:rFonts w:hint="eastAsia" w:ascii="宋体" w:hAnsi="宋体" w:eastAsia="宋体" w:cs="宋体-18030"/>
          <w:b/>
          <w:bCs/>
          <w:color w:val="auto"/>
          <w:szCs w:val="24"/>
          <w:highlight w:val="none"/>
          <w:u w:val="none"/>
          <w:lang w:eastAsia="zh-CN"/>
        </w:rPr>
      </w:pPr>
      <w:r>
        <w:rPr>
          <w:rFonts w:hint="eastAsia" w:ascii="宋体" w:hAnsi="宋体" w:cs="宋体-18030"/>
          <w:b w:val="0"/>
          <w:bCs w:val="0"/>
          <w:color w:val="auto"/>
          <w:szCs w:val="24"/>
          <w:highlight w:val="none"/>
          <w:u w:val="none"/>
          <w:lang w:val="en-US" w:eastAsia="zh-CN"/>
        </w:rPr>
        <w:t>1.工程名称：</w:t>
      </w:r>
      <w:r>
        <w:rPr>
          <w:rFonts w:hint="eastAsia" w:ascii="Times New Roman" w:hAnsi="Times New Roman"/>
          <w:b/>
          <w:bCs/>
          <w:color w:val="auto"/>
          <w:szCs w:val="21"/>
          <w:highlight w:val="none"/>
          <w:u w:val="single"/>
        </w:rPr>
        <w:t>淮河入海水道二期滨海枢纽工程土建施工及设备安装</w:t>
      </w:r>
    </w:p>
    <w:p>
      <w:pPr>
        <w:keepNext w:val="0"/>
        <w:keepLines w:val="0"/>
        <w:pageBreakBefore w:val="0"/>
        <w:widowControl/>
        <w:kinsoku/>
        <w:wordWrap/>
        <w:overflowPunct/>
        <w:topLinePunct w:val="0"/>
        <w:autoSpaceDE/>
        <w:autoSpaceDN/>
        <w:bidi w:val="0"/>
        <w:adjustRightInd/>
        <w:snapToGrid w:val="0"/>
        <w:spacing w:line="312" w:lineRule="auto"/>
        <w:ind w:firstLine="482"/>
        <w:textAlignment w:val="auto"/>
        <w:rPr>
          <w:rFonts w:hint="default" w:ascii="宋体" w:hAnsi="宋体"/>
          <w:color w:val="auto"/>
          <w:szCs w:val="24"/>
          <w:highlight w:val="none"/>
          <w:lang w:val="en-US" w:eastAsia="zh-CN"/>
        </w:rPr>
      </w:pPr>
      <w:r>
        <w:rPr>
          <w:rFonts w:hint="eastAsia" w:ascii="宋体" w:hAnsi="宋体"/>
          <w:color w:val="auto"/>
          <w:szCs w:val="24"/>
          <w:highlight w:val="none"/>
          <w:lang w:val="en-US" w:eastAsia="zh-CN"/>
        </w:rPr>
        <w:t>2.工程</w:t>
      </w:r>
      <w:r>
        <w:rPr>
          <w:rFonts w:hint="eastAsia" w:ascii="宋体" w:hAnsi="宋体" w:eastAsia="宋体"/>
          <w:color w:val="auto"/>
          <w:szCs w:val="24"/>
          <w:highlight w:val="none"/>
        </w:rPr>
        <w:t>地点</w:t>
      </w:r>
      <w:r>
        <w:rPr>
          <w:rFonts w:hint="eastAsia" w:ascii="宋体" w:hAnsi="宋体"/>
          <w:color w:val="auto"/>
          <w:szCs w:val="24"/>
          <w:highlight w:val="none"/>
          <w:lang w:eastAsia="zh-CN"/>
        </w:rPr>
        <w:t>：</w:t>
      </w:r>
      <w:r>
        <w:rPr>
          <w:rFonts w:hint="eastAsia" w:ascii="宋体" w:hAnsi="宋体"/>
          <w:b/>
          <w:bCs/>
          <w:color w:val="auto"/>
          <w:szCs w:val="24"/>
          <w:highlight w:val="none"/>
          <w:lang w:val="en-US" w:eastAsia="zh-CN"/>
        </w:rPr>
        <w:t>盐城市滨海县</w:t>
      </w:r>
    </w:p>
    <w:p>
      <w:pPr>
        <w:keepNext w:val="0"/>
        <w:keepLines w:val="0"/>
        <w:pageBreakBefore w:val="0"/>
        <w:widowControl/>
        <w:kinsoku/>
        <w:wordWrap/>
        <w:overflowPunct/>
        <w:topLinePunct w:val="0"/>
        <w:autoSpaceDE/>
        <w:autoSpaceDN/>
        <w:bidi w:val="0"/>
        <w:adjustRightInd/>
        <w:snapToGrid w:val="0"/>
        <w:spacing w:line="312" w:lineRule="auto"/>
        <w:ind w:firstLine="482"/>
        <w:textAlignment w:val="auto"/>
        <w:rPr>
          <w:rFonts w:ascii="宋体" w:hAnsi="宋体" w:eastAsia="宋体"/>
          <w:color w:val="auto"/>
          <w:spacing w:val="-6"/>
          <w:sz w:val="24"/>
          <w:szCs w:val="24"/>
          <w:highlight w:val="none"/>
        </w:rPr>
      </w:pPr>
      <w:r>
        <w:rPr>
          <w:rFonts w:hint="eastAsia" w:ascii="宋体" w:hAnsi="宋体"/>
          <w:color w:val="auto"/>
          <w:szCs w:val="24"/>
          <w:highlight w:val="none"/>
          <w:lang w:val="en-US" w:eastAsia="zh-CN"/>
        </w:rPr>
        <w:t>3.送货</w:t>
      </w:r>
      <w:r>
        <w:rPr>
          <w:rFonts w:hint="eastAsia" w:ascii="宋体" w:hAnsi="宋体" w:eastAsia="宋体"/>
          <w:color w:val="auto"/>
          <w:szCs w:val="24"/>
          <w:highlight w:val="none"/>
        </w:rPr>
        <w:t>地点</w:t>
      </w:r>
      <w:r>
        <w:rPr>
          <w:rFonts w:hint="eastAsia" w:ascii="宋体" w:hAnsi="宋体"/>
          <w:color w:val="auto"/>
          <w:szCs w:val="24"/>
          <w:highlight w:val="none"/>
          <w:lang w:eastAsia="zh-CN"/>
        </w:rPr>
        <w:t>：</w:t>
      </w:r>
      <w:r>
        <w:rPr>
          <w:rFonts w:hint="eastAsia" w:ascii="宋体" w:hAnsi="宋体"/>
          <w:b/>
          <w:bCs/>
          <w:color w:val="auto"/>
          <w:szCs w:val="24"/>
          <w:highlight w:val="none"/>
          <w:lang w:val="en-US" w:eastAsia="zh-CN"/>
        </w:rPr>
        <w:t>同工程地点</w:t>
      </w:r>
      <w:r>
        <w:rPr>
          <w:rFonts w:hint="eastAsia" w:ascii="宋体" w:hAnsi="宋体" w:eastAsia="宋体"/>
          <w:color w:val="auto"/>
          <w:spacing w:val="-6"/>
          <w:sz w:val="24"/>
          <w:szCs w:val="24"/>
          <w:highlight w:val="none"/>
        </w:rPr>
        <w:t>。</w:t>
      </w:r>
    </w:p>
    <w:p>
      <w:pPr>
        <w:keepNext w:val="0"/>
        <w:keepLines w:val="0"/>
        <w:pageBreakBefore w:val="0"/>
        <w:widowControl/>
        <w:kinsoku/>
        <w:wordWrap/>
        <w:overflowPunct/>
        <w:topLinePunct w:val="0"/>
        <w:autoSpaceDE/>
        <w:autoSpaceDN/>
        <w:bidi w:val="0"/>
        <w:adjustRightInd/>
        <w:snapToGrid w:val="0"/>
        <w:spacing w:line="312" w:lineRule="auto"/>
        <w:ind w:firstLine="482"/>
        <w:textAlignment w:val="auto"/>
        <w:outlineLvl w:val="0"/>
        <w:rPr>
          <w:rFonts w:ascii="宋体" w:hAnsi="宋体" w:eastAsia="宋体" w:cs="宋体"/>
          <w:b/>
          <w:color w:val="auto"/>
          <w:highlight w:val="none"/>
        </w:rPr>
      </w:pPr>
      <w:r>
        <w:rPr>
          <w:rFonts w:hint="eastAsia" w:ascii="宋体" w:hAnsi="宋体" w:eastAsia="宋体" w:cs="宋体"/>
          <w:b/>
          <w:color w:val="auto"/>
          <w:highlight w:val="none"/>
        </w:rPr>
        <w:t>二、所供钢材</w:t>
      </w:r>
      <w:r>
        <w:rPr>
          <w:rFonts w:hint="eastAsia" w:ascii="宋体" w:hAnsi="宋体" w:cs="宋体"/>
          <w:b/>
          <w:color w:val="auto"/>
          <w:highlight w:val="none"/>
          <w:lang w:val="en-US" w:eastAsia="zh-CN"/>
        </w:rPr>
        <w:t>品牌</w:t>
      </w:r>
      <w:r>
        <w:rPr>
          <w:rFonts w:hint="eastAsia" w:ascii="宋体" w:hAnsi="宋体" w:cs="宋体"/>
          <w:b/>
          <w:color w:val="auto"/>
          <w:highlight w:val="none"/>
          <w:lang w:val="en-US" w:eastAsia="zh-CN"/>
        </w:rPr>
        <w:t>、</w:t>
      </w:r>
      <w:r>
        <w:rPr>
          <w:rFonts w:hint="eastAsia" w:ascii="宋体" w:hAnsi="宋体" w:eastAsia="宋体" w:cs="宋体"/>
          <w:b/>
          <w:color w:val="auto"/>
          <w:highlight w:val="none"/>
        </w:rPr>
        <w:t>数量及时间要求</w:t>
      </w:r>
    </w:p>
    <w:bookmarkEnd w:id="3"/>
    <w:p>
      <w:pPr>
        <w:keepNext w:val="0"/>
        <w:keepLines w:val="0"/>
        <w:pageBreakBefore w:val="0"/>
        <w:widowControl/>
        <w:kinsoku/>
        <w:wordWrap/>
        <w:overflowPunct/>
        <w:topLinePunct w:val="0"/>
        <w:autoSpaceDE/>
        <w:autoSpaceDN/>
        <w:bidi w:val="0"/>
        <w:adjustRightInd/>
        <w:spacing w:line="312" w:lineRule="auto"/>
        <w:ind w:firstLine="480"/>
        <w:textAlignment w:val="auto"/>
        <w:rPr>
          <w:rFonts w:ascii="宋体" w:hAnsi="宋体" w:eastAsia="宋体"/>
          <w:color w:val="auto"/>
          <w:szCs w:val="21"/>
          <w:highlight w:val="none"/>
        </w:rPr>
      </w:pPr>
      <w:r>
        <w:rPr>
          <w:rFonts w:hint="eastAsia" w:ascii="宋体" w:hAnsi="宋体" w:eastAsia="宋体"/>
          <w:color w:val="auto"/>
          <w:szCs w:val="21"/>
          <w:highlight w:val="none"/>
        </w:rPr>
        <w:t>1、钢材</w:t>
      </w:r>
      <w:r>
        <w:rPr>
          <w:rFonts w:hint="eastAsia" w:ascii="宋体" w:hAnsi="宋体" w:eastAsia="宋体"/>
          <w:color w:val="auto"/>
          <w:szCs w:val="21"/>
          <w:highlight w:val="none"/>
          <w:lang w:val="en-US" w:eastAsia="zh-CN"/>
        </w:rPr>
        <w:t>的品牌指定</w:t>
      </w:r>
      <w:r>
        <w:rPr>
          <w:rFonts w:hint="eastAsia" w:ascii="宋体" w:hAnsi="宋体" w:eastAsia="宋体"/>
          <w:b/>
          <w:bCs/>
          <w:color w:val="auto"/>
          <w:szCs w:val="21"/>
          <w:highlight w:val="none"/>
        </w:rPr>
        <w:t>沙钢、永钢、中天、马钢</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武钢</w:t>
      </w:r>
      <w:r>
        <w:rPr>
          <w:rFonts w:hint="eastAsia" w:ascii="宋体" w:hAnsi="宋体" w:eastAsia="宋体"/>
          <w:b/>
          <w:bCs/>
          <w:color w:val="auto"/>
          <w:szCs w:val="21"/>
          <w:highlight w:val="none"/>
        </w:rPr>
        <w:t>。</w:t>
      </w:r>
    </w:p>
    <w:p>
      <w:pPr>
        <w:keepNext w:val="0"/>
        <w:keepLines w:val="0"/>
        <w:pageBreakBefore w:val="0"/>
        <w:widowControl/>
        <w:kinsoku/>
        <w:wordWrap/>
        <w:overflowPunct/>
        <w:topLinePunct w:val="0"/>
        <w:autoSpaceDE/>
        <w:autoSpaceDN/>
        <w:bidi w:val="0"/>
        <w:adjustRightInd/>
        <w:spacing w:line="312" w:lineRule="auto"/>
        <w:ind w:firstLine="480"/>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rPr>
        <w:t>2、报价以“我的钢铁网”</w:t>
      </w:r>
      <w:r>
        <w:rPr>
          <w:rFonts w:hint="eastAsia" w:ascii="宋体" w:hAnsi="宋体"/>
          <w:color w:val="auto"/>
          <w:szCs w:val="21"/>
          <w:highlight w:val="none"/>
          <w:lang w:eastAsia="zh-CN"/>
        </w:rPr>
        <w:t>（</w:t>
      </w:r>
      <w:r>
        <w:rPr>
          <w:rFonts w:hint="default" w:ascii="Times New Roman" w:hAnsi="Times New Roman" w:eastAsia="宋体" w:cs="Times New Roman"/>
          <w:color w:val="auto"/>
          <w:szCs w:val="21"/>
          <w:highlight w:val="none"/>
        </w:rPr>
        <w:t>www.mysteel.com</w:t>
      </w:r>
      <w:r>
        <w:rPr>
          <w:rFonts w:hint="eastAsia" w:cs="Times New Roman"/>
          <w:color w:val="auto"/>
          <w:szCs w:val="21"/>
          <w:highlight w:val="none"/>
          <w:lang w:eastAsia="zh-CN"/>
        </w:rPr>
        <w:t>）</w:t>
      </w:r>
      <w:r>
        <w:rPr>
          <w:rFonts w:hint="eastAsia" w:ascii="宋体" w:hAnsi="宋体"/>
          <w:b/>
          <w:color w:val="auto"/>
          <w:szCs w:val="21"/>
          <w:highlight w:val="none"/>
        </w:rPr>
        <w:t>202</w:t>
      </w:r>
      <w:r>
        <w:rPr>
          <w:rFonts w:hint="eastAsia" w:ascii="宋体" w:hAnsi="宋体"/>
          <w:b/>
          <w:color w:val="auto"/>
          <w:szCs w:val="21"/>
          <w:highlight w:val="none"/>
          <w:lang w:val="en-US" w:eastAsia="zh-CN"/>
        </w:rPr>
        <w:t>4</w:t>
      </w:r>
      <w:r>
        <w:rPr>
          <w:rFonts w:hint="eastAsia" w:ascii="宋体" w:hAnsi="宋体"/>
          <w:b/>
          <w:color w:val="auto"/>
          <w:szCs w:val="21"/>
          <w:highlight w:val="none"/>
        </w:rPr>
        <w:t>年</w:t>
      </w:r>
      <w:r>
        <w:rPr>
          <w:rFonts w:hint="eastAsia" w:ascii="宋体" w:hAnsi="宋体"/>
          <w:b/>
          <w:color w:val="auto"/>
          <w:szCs w:val="21"/>
          <w:highlight w:val="none"/>
          <w:lang w:val="en-US" w:eastAsia="zh-CN"/>
        </w:rPr>
        <w:t>5</w:t>
      </w:r>
      <w:r>
        <w:rPr>
          <w:rFonts w:hint="eastAsia" w:ascii="宋体" w:hAnsi="宋体"/>
          <w:b/>
          <w:color w:val="auto"/>
          <w:szCs w:val="21"/>
          <w:highlight w:val="none"/>
        </w:rPr>
        <w:t>月</w:t>
      </w:r>
      <w:r>
        <w:rPr>
          <w:rFonts w:hint="eastAsia" w:ascii="宋体" w:hAnsi="宋体"/>
          <w:b/>
          <w:color w:val="auto"/>
          <w:szCs w:val="21"/>
          <w:highlight w:val="none"/>
          <w:lang w:val="en-US" w:eastAsia="zh-CN"/>
        </w:rPr>
        <w:t>14</w:t>
      </w:r>
      <w:r>
        <w:rPr>
          <w:rFonts w:hint="eastAsia" w:ascii="宋体" w:hAnsi="宋体"/>
          <w:b/>
          <w:color w:val="auto"/>
          <w:szCs w:val="21"/>
          <w:highlight w:val="none"/>
        </w:rPr>
        <w:t>日</w:t>
      </w:r>
      <w:r>
        <w:rPr>
          <w:rFonts w:hint="eastAsia" w:ascii="宋体" w:hAnsi="宋体"/>
          <w:b/>
          <w:color w:val="auto"/>
          <w:szCs w:val="21"/>
          <w:highlight w:val="none"/>
          <w:lang w:val="en-US" w:eastAsia="zh-CN"/>
        </w:rPr>
        <w:t>第</w:t>
      </w:r>
      <w:r>
        <w:rPr>
          <w:rFonts w:hint="eastAsia" w:ascii="宋体" w:hAnsi="宋体" w:eastAsia="宋体"/>
          <w:color w:val="auto"/>
          <w:szCs w:val="21"/>
          <w:highlight w:val="none"/>
        </w:rPr>
        <w:t>一次发布的</w:t>
      </w:r>
      <w:r>
        <w:rPr>
          <w:rFonts w:hint="eastAsia" w:ascii="宋体" w:hAnsi="宋体"/>
          <w:b/>
          <w:color w:val="auto"/>
          <w:szCs w:val="21"/>
          <w:highlight w:val="none"/>
          <w:u w:val="single"/>
          <w:lang w:val="en-US" w:eastAsia="zh-CN"/>
        </w:rPr>
        <w:t>中天、永钢</w:t>
      </w:r>
      <w:r>
        <w:rPr>
          <w:rFonts w:hint="eastAsia" w:ascii="宋体" w:hAnsi="宋体" w:eastAsia="宋体"/>
          <w:color w:val="auto"/>
          <w:szCs w:val="21"/>
          <w:highlight w:val="none"/>
        </w:rPr>
        <w:t>各种直径规格</w:t>
      </w:r>
      <w:r>
        <w:rPr>
          <w:rFonts w:hint="eastAsia" w:ascii="宋体" w:hAnsi="宋体" w:eastAsia="宋体"/>
          <w:b w:val="0"/>
          <w:bCs/>
          <w:color w:val="auto"/>
          <w:szCs w:val="21"/>
          <w:highlight w:val="none"/>
        </w:rPr>
        <w:t>钢材的</w:t>
      </w:r>
      <w:r>
        <w:rPr>
          <w:rFonts w:hint="eastAsia" w:ascii="宋体" w:hAnsi="宋体" w:eastAsia="宋体"/>
          <w:b/>
          <w:bCs/>
          <w:color w:val="auto"/>
          <w:kern w:val="2"/>
          <w:szCs w:val="24"/>
          <w:highlight w:val="none"/>
        </w:rPr>
        <w:t>上海</w:t>
      </w:r>
      <w:r>
        <w:rPr>
          <w:rFonts w:hint="eastAsia" w:ascii="宋体" w:hAnsi="宋体"/>
          <w:b/>
          <w:bCs/>
          <w:color w:val="auto"/>
          <w:kern w:val="2"/>
          <w:szCs w:val="24"/>
          <w:highlight w:val="none"/>
          <w:lang w:val="en-US" w:eastAsia="zh-CN"/>
        </w:rPr>
        <w:t>地区</w:t>
      </w:r>
      <w:r>
        <w:rPr>
          <w:rFonts w:hint="eastAsia" w:ascii="宋体" w:hAnsi="宋体" w:eastAsia="宋体"/>
          <w:b/>
          <w:bCs/>
          <w:color w:val="auto"/>
          <w:kern w:val="2"/>
          <w:szCs w:val="24"/>
          <w:highlight w:val="none"/>
        </w:rPr>
        <w:t>价格</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非备注栏价格，下同</w:t>
      </w:r>
      <w:r>
        <w:rPr>
          <w:rFonts w:hint="eastAsia" w:ascii="宋体" w:hAnsi="宋体"/>
          <w:b/>
          <w:color w:val="auto"/>
          <w:szCs w:val="21"/>
          <w:highlight w:val="none"/>
          <w:lang w:eastAsia="zh-CN"/>
        </w:rPr>
        <w:t>）</w:t>
      </w:r>
      <w:r>
        <w:rPr>
          <w:rFonts w:hint="eastAsia" w:ascii="宋体" w:hAnsi="宋体" w:eastAsia="宋体"/>
          <w:b w:val="0"/>
          <w:bCs/>
          <w:color w:val="auto"/>
          <w:szCs w:val="21"/>
          <w:highlight w:val="none"/>
        </w:rPr>
        <w:t>为基准</w:t>
      </w:r>
      <w:r>
        <w:rPr>
          <w:rFonts w:hint="eastAsia" w:ascii="宋体" w:hAnsi="宋体" w:eastAsia="宋体"/>
          <w:b/>
          <w:bCs w:val="0"/>
          <w:color w:val="auto"/>
          <w:szCs w:val="21"/>
          <w:highlight w:val="none"/>
        </w:rPr>
        <w:t>报</w:t>
      </w:r>
      <w:r>
        <w:rPr>
          <w:rFonts w:hint="eastAsia" w:ascii="宋体" w:hAnsi="宋体"/>
          <w:b/>
          <w:bCs w:val="0"/>
          <w:color w:val="auto"/>
          <w:szCs w:val="21"/>
          <w:highlight w:val="none"/>
          <w:lang w:val="en-US" w:eastAsia="zh-CN"/>
        </w:rPr>
        <w:t>统一</w:t>
      </w:r>
      <w:r>
        <w:rPr>
          <w:rFonts w:hint="eastAsia" w:ascii="宋体" w:hAnsi="宋体" w:eastAsia="宋体"/>
          <w:b/>
          <w:bCs w:val="0"/>
          <w:color w:val="auto"/>
          <w:szCs w:val="21"/>
          <w:highlight w:val="none"/>
        </w:rPr>
        <w:t>上下浮价</w:t>
      </w:r>
      <w:r>
        <w:rPr>
          <w:rFonts w:hint="eastAsia" w:ascii="宋体" w:hAnsi="宋体"/>
          <w:b/>
          <w:bCs w:val="0"/>
          <w:color w:val="auto"/>
          <w:szCs w:val="21"/>
          <w:highlight w:val="none"/>
          <w:lang w:eastAsia="zh-CN"/>
        </w:rPr>
        <w:t>，</w:t>
      </w:r>
      <w:r>
        <w:rPr>
          <w:rFonts w:hint="eastAsia" w:ascii="宋体" w:hAnsi="宋体" w:eastAsia="宋体"/>
          <w:color w:val="auto"/>
          <w:szCs w:val="21"/>
          <w:highlight w:val="none"/>
        </w:rPr>
        <w:t>该上下浮价报价为</w:t>
      </w:r>
      <w:r>
        <w:rPr>
          <w:rFonts w:hint="eastAsia" w:ascii="宋体" w:hAnsi="宋体"/>
          <w:b/>
          <w:bCs/>
          <w:color w:val="auto"/>
          <w:szCs w:val="21"/>
          <w:highlight w:val="none"/>
          <w:lang w:val="en-US" w:eastAsia="zh-CN"/>
        </w:rPr>
        <w:t>报价表</w:t>
      </w:r>
      <w:r>
        <w:rPr>
          <w:rFonts w:hint="eastAsia" w:ascii="宋体" w:hAnsi="宋体" w:eastAsia="宋体"/>
          <w:b/>
          <w:bCs/>
          <w:color w:val="auto"/>
          <w:szCs w:val="21"/>
          <w:highlight w:val="none"/>
        </w:rPr>
        <w:t>所</w:t>
      </w:r>
      <w:r>
        <w:rPr>
          <w:rFonts w:hint="eastAsia" w:ascii="宋体" w:hAnsi="宋体"/>
          <w:b/>
          <w:bCs/>
          <w:color w:val="auto"/>
          <w:szCs w:val="21"/>
          <w:highlight w:val="none"/>
          <w:lang w:val="en-US" w:eastAsia="zh-CN"/>
        </w:rPr>
        <w:t>列</w:t>
      </w:r>
      <w:r>
        <w:rPr>
          <w:rFonts w:hint="eastAsia" w:ascii="宋体" w:hAnsi="宋体" w:eastAsia="宋体"/>
          <w:color w:val="auto"/>
          <w:szCs w:val="21"/>
          <w:highlight w:val="none"/>
        </w:rPr>
        <w:t>规格钢材的上下浮价</w:t>
      </w:r>
      <w:r>
        <w:rPr>
          <w:rFonts w:hint="eastAsia" w:ascii="宋体" w:hAnsi="宋体"/>
          <w:b/>
          <w:bCs w:val="0"/>
          <w:color w:val="auto"/>
          <w:szCs w:val="21"/>
          <w:highlight w:val="none"/>
          <w:lang w:eastAsia="zh-CN"/>
        </w:rPr>
        <w:t>；</w:t>
      </w:r>
      <w:r>
        <w:rPr>
          <w:rFonts w:hint="default" w:ascii="Times New Roman" w:hAnsi="Times New Roman" w:eastAsia="宋体" w:cs="Times New Roman"/>
          <w:b/>
          <w:bCs w:val="0"/>
          <w:color w:val="auto"/>
          <w:szCs w:val="21"/>
          <w:highlight w:val="none"/>
        </w:rPr>
        <w:t>①HPB300直径</w:t>
      </w:r>
      <w:r>
        <w:rPr>
          <w:rFonts w:hint="eastAsia" w:ascii="Times New Roman" w:hAnsi="Times New Roman" w:eastAsia="宋体" w:cs="Times New Roman"/>
          <w:b/>
          <w:bCs w:val="0"/>
          <w:color w:val="auto"/>
          <w:szCs w:val="21"/>
          <w:highlight w:val="none"/>
          <w:lang w:val="en-US" w:eastAsia="zh-CN"/>
        </w:rPr>
        <w:t>为</w:t>
      </w:r>
      <w:r>
        <w:rPr>
          <w:rFonts w:hint="default" w:ascii="Times New Roman" w:hAnsi="Times New Roman" w:eastAsia="宋体" w:cs="Times New Roman"/>
          <w:b/>
          <w:bCs w:val="0"/>
          <w:color w:val="auto"/>
          <w:szCs w:val="21"/>
          <w:highlight w:val="none"/>
        </w:rPr>
        <w:t>16mm</w:t>
      </w:r>
      <w:r>
        <w:rPr>
          <w:rFonts w:hint="eastAsia" w:ascii="Times New Roman" w:hAnsi="Times New Roman" w:eastAsia="宋体" w:cs="Times New Roman"/>
          <w:b/>
          <w:bCs w:val="0"/>
          <w:color w:val="auto"/>
          <w:szCs w:val="21"/>
          <w:highlight w:val="none"/>
          <w:lang w:val="en-US" w:eastAsia="zh-CN"/>
        </w:rPr>
        <w:t>的</w:t>
      </w:r>
      <w:r>
        <w:rPr>
          <w:rFonts w:hint="eastAsia" w:ascii="宋体" w:hAnsi="宋体" w:eastAsia="宋体"/>
          <w:b/>
          <w:bCs w:val="0"/>
          <w:color w:val="auto"/>
          <w:szCs w:val="21"/>
          <w:highlight w:val="none"/>
        </w:rPr>
        <w:t>热轧</w:t>
      </w:r>
      <w:r>
        <w:rPr>
          <w:rFonts w:hint="eastAsia" w:ascii="宋体" w:hAnsi="宋体" w:eastAsia="宋体"/>
          <w:b/>
          <w:bCs w:val="0"/>
          <w:color w:val="auto"/>
          <w:szCs w:val="21"/>
          <w:highlight w:val="none"/>
          <w:lang w:val="en-US" w:eastAsia="zh-CN"/>
        </w:rPr>
        <w:t>光圆</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永钢</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lang w:val="en-US" w:eastAsia="zh-CN"/>
        </w:rPr>
        <w:t>该</w:t>
      </w:r>
      <w:r>
        <w:rPr>
          <w:rFonts w:hint="eastAsia" w:ascii="宋体" w:hAnsi="宋体" w:eastAsia="宋体"/>
          <w:b/>
          <w:bCs/>
          <w:color w:val="auto"/>
          <w:szCs w:val="21"/>
          <w:highlight w:val="none"/>
        </w:rPr>
        <w:t>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b/>
          <w:color w:val="auto"/>
          <w:szCs w:val="21"/>
          <w:highlight w:val="none"/>
          <w:lang w:eastAsia="zh-CN"/>
        </w:rPr>
        <w:t>；</w:t>
      </w:r>
      <w:r>
        <w:rPr>
          <w:rFonts w:hint="default" w:ascii="Times New Roman" w:hAnsi="Times New Roman" w:eastAsia="宋体" w:cs="Times New Roman"/>
          <w:b/>
          <w:color w:val="auto"/>
          <w:szCs w:val="21"/>
          <w:highlight w:val="none"/>
          <w:lang w:eastAsia="zh-CN"/>
        </w:rPr>
        <w:t>②</w:t>
      </w:r>
      <w:r>
        <w:rPr>
          <w:rFonts w:hint="eastAsia" w:ascii="Times New Roman" w:hAnsi="Times New Roman" w:eastAsia="宋体" w:cs="Times New Roman"/>
          <w:b/>
          <w:color w:val="auto"/>
          <w:szCs w:val="21"/>
          <w:highlight w:val="none"/>
          <w:lang w:val="en-US" w:eastAsia="zh-CN"/>
        </w:rPr>
        <w:t>除</w:t>
      </w:r>
      <w:r>
        <w:rPr>
          <w:rFonts w:hint="eastAsia" w:ascii="宋体" w:hAnsi="宋体" w:eastAsia="宋体"/>
          <w:b/>
          <w:bCs w:val="0"/>
          <w:color w:val="auto"/>
          <w:szCs w:val="21"/>
          <w:highlight w:val="none"/>
          <w:lang w:val="en-US" w:eastAsia="zh-CN"/>
        </w:rPr>
        <w:t>HPB300直径为16mm以外的各直径规格</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中天</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rPr>
        <w:t>各种规格钢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color w:val="auto"/>
          <w:szCs w:val="21"/>
          <w:highlight w:val="none"/>
        </w:rPr>
        <w:t>。</w:t>
      </w:r>
      <w:r>
        <w:rPr>
          <w:rFonts w:hint="eastAsia" w:ascii="宋体" w:hAnsi="宋体" w:eastAsia="宋体"/>
          <w:b/>
          <w:bCs/>
          <w:color w:val="auto"/>
          <w:szCs w:val="21"/>
          <w:highlight w:val="none"/>
        </w:rPr>
        <w:t>“订货通知单”须注明各品牌规格钢材当天的网牌价</w:t>
      </w:r>
      <w:r>
        <w:rPr>
          <w:rFonts w:hint="eastAsia" w:ascii="宋体" w:hAnsi="宋体"/>
          <w:b/>
          <w:bCs/>
          <w:color w:val="auto"/>
          <w:szCs w:val="21"/>
          <w:highlight w:val="none"/>
          <w:lang w:eastAsia="zh-CN"/>
        </w:rPr>
        <w:t>。</w:t>
      </w:r>
    </w:p>
    <w:p>
      <w:pPr>
        <w:keepNext w:val="0"/>
        <w:keepLines w:val="0"/>
        <w:pageBreakBefore w:val="0"/>
        <w:widowControl/>
        <w:kinsoku/>
        <w:wordWrap/>
        <w:overflowPunct/>
        <w:topLinePunct w:val="0"/>
        <w:autoSpaceDE/>
        <w:autoSpaceDN/>
        <w:bidi w:val="0"/>
        <w:adjustRightInd/>
        <w:spacing w:line="312" w:lineRule="auto"/>
        <w:ind w:firstLine="480" w:firstLineChars="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r>
        <w:rPr>
          <w:rFonts w:hint="eastAsia" w:ascii="宋体" w:hAnsi="宋体" w:eastAsia="宋体"/>
          <w:color w:val="auto"/>
          <w:szCs w:val="21"/>
          <w:highlight w:val="none"/>
        </w:rPr>
        <w:t>、</w:t>
      </w:r>
      <w:r>
        <w:rPr>
          <w:rFonts w:hint="eastAsia" w:ascii="宋体" w:hAnsi="宋体" w:eastAsia="宋体" w:cs="Times New Roman"/>
          <w:color w:val="auto"/>
          <w:szCs w:val="21"/>
          <w:highlight w:val="none"/>
          <w:lang w:val="en-US" w:eastAsia="zh-CN"/>
        </w:rPr>
        <w:t>投标</w:t>
      </w:r>
      <w:r>
        <w:rPr>
          <w:rFonts w:hint="eastAsia" w:ascii="宋体" w:hAnsi="宋体" w:eastAsia="宋体"/>
          <w:color w:val="auto"/>
          <w:szCs w:val="21"/>
          <w:highlight w:val="none"/>
        </w:rPr>
        <w:t>报价均包含</w:t>
      </w:r>
      <w:r>
        <w:rPr>
          <w:rFonts w:hint="eastAsia" w:ascii="宋体" w:hAnsi="宋体" w:eastAsia="宋体" w:cs="宋体"/>
          <w:b/>
          <w:bCs/>
          <w:color w:val="auto"/>
          <w:highlight w:val="none"/>
        </w:rPr>
        <w:t>货款、运输费、利润、税费，并包含货物装车、运输、配合（指定）卸货等全过程中的安全、保险、措施等费用以及如发生</w:t>
      </w:r>
      <w:r>
        <w:rPr>
          <w:rFonts w:hint="eastAsia" w:ascii="宋体" w:hAnsi="宋体" w:cs="宋体"/>
          <w:b/>
          <w:bCs/>
          <w:color w:val="auto"/>
          <w:highlight w:val="none"/>
          <w:lang w:val="en-US" w:eastAsia="zh-CN"/>
        </w:rPr>
        <w:t>安全事故</w:t>
      </w:r>
      <w:r>
        <w:rPr>
          <w:rFonts w:hint="eastAsia" w:ascii="宋体" w:hAnsi="宋体" w:eastAsia="宋体" w:cs="宋体"/>
          <w:b/>
          <w:bCs/>
          <w:color w:val="auto"/>
          <w:highlight w:val="none"/>
        </w:rPr>
        <w:t>导致的损失和赔偿费用，提供税率为13%的增值税专用发票（税金由中标人承担，包含在钢材价格中）。</w:t>
      </w:r>
    </w:p>
    <w:p>
      <w:pPr>
        <w:keepNext w:val="0"/>
        <w:keepLines w:val="0"/>
        <w:pageBreakBefore w:val="0"/>
        <w:widowControl/>
        <w:kinsoku/>
        <w:wordWrap/>
        <w:overflowPunct/>
        <w:topLinePunct w:val="0"/>
        <w:autoSpaceDE/>
        <w:autoSpaceDN/>
        <w:bidi w:val="0"/>
        <w:adjustRightInd/>
        <w:spacing w:line="312" w:lineRule="auto"/>
        <w:ind w:firstLine="480"/>
        <w:textAlignment w:val="auto"/>
        <w:rPr>
          <w:rFonts w:hint="eastAsia" w:ascii="宋体" w:hAnsi="宋体" w:eastAsia="宋体" w:cs="宋体"/>
          <w:b w:val="0"/>
          <w:bCs w:val="0"/>
          <w:color w:val="auto"/>
          <w:highlight w:val="none"/>
        </w:rPr>
      </w:pPr>
      <w:r>
        <w:rPr>
          <w:rFonts w:hint="eastAsia" w:ascii="宋体" w:hAnsi="宋体"/>
          <w:b w:val="0"/>
          <w:bCs w:val="0"/>
          <w:color w:val="auto"/>
          <w:szCs w:val="21"/>
          <w:highlight w:val="none"/>
          <w:lang w:val="en-US" w:eastAsia="zh-CN"/>
        </w:rPr>
        <w:t>4</w:t>
      </w:r>
      <w:r>
        <w:rPr>
          <w:rFonts w:hint="eastAsia" w:ascii="宋体" w:hAnsi="宋体" w:eastAsia="宋体"/>
          <w:b w:val="0"/>
          <w:bCs w:val="0"/>
          <w:color w:val="auto"/>
          <w:szCs w:val="21"/>
          <w:highlight w:val="none"/>
        </w:rPr>
        <w:t>、</w:t>
      </w:r>
      <w:r>
        <w:rPr>
          <w:rFonts w:hint="eastAsia" w:ascii="宋体" w:hAnsi="宋体"/>
          <w:b w:val="0"/>
          <w:bCs w:val="0"/>
          <w:color w:val="auto"/>
          <w:szCs w:val="21"/>
          <w:highlight w:val="none"/>
          <w:lang w:val="en-US" w:eastAsia="zh-CN"/>
        </w:rPr>
        <w:t>供方</w:t>
      </w:r>
      <w:r>
        <w:rPr>
          <w:rFonts w:hint="eastAsia" w:ascii="宋体" w:hAnsi="宋体" w:eastAsia="宋体" w:cs="宋体"/>
          <w:b w:val="0"/>
          <w:bCs w:val="0"/>
          <w:color w:val="auto"/>
          <w:highlight w:val="none"/>
        </w:rPr>
        <w:t>根据项目部需求计划表进行材料</w:t>
      </w:r>
      <w:r>
        <w:rPr>
          <w:rFonts w:hint="eastAsia" w:ascii="宋体" w:hAnsi="宋体" w:cs="宋体"/>
          <w:b w:val="0"/>
          <w:bCs w:val="0"/>
          <w:strike w:val="0"/>
          <w:dstrike w:val="0"/>
          <w:color w:val="auto"/>
          <w:highlight w:val="none"/>
          <w:lang w:val="en-US" w:eastAsia="zh-CN"/>
        </w:rPr>
        <w:t>供货</w:t>
      </w:r>
      <w:r>
        <w:rPr>
          <w:rFonts w:hint="eastAsia" w:ascii="宋体" w:hAnsi="宋体" w:eastAsia="宋体" w:cs="宋体"/>
          <w:b w:val="0"/>
          <w:bCs w:val="0"/>
          <w:color w:val="auto"/>
          <w:highlight w:val="none"/>
        </w:rPr>
        <w:t>，</w:t>
      </w:r>
      <w:r>
        <w:rPr>
          <w:rFonts w:hint="eastAsia" w:ascii="宋体" w:hAnsi="宋体" w:cs="宋体"/>
          <w:b w:val="0"/>
          <w:bCs w:val="0"/>
          <w:color w:val="auto"/>
          <w:highlight w:val="none"/>
          <w:lang w:val="en-US" w:eastAsia="zh-CN"/>
        </w:rPr>
        <w:t>供方</w:t>
      </w:r>
      <w:r>
        <w:rPr>
          <w:rFonts w:hint="eastAsia" w:ascii="宋体" w:hAnsi="宋体" w:eastAsia="宋体" w:cs="宋体"/>
          <w:b w:val="0"/>
          <w:bCs w:val="0"/>
          <w:color w:val="auto"/>
          <w:highlight w:val="none"/>
        </w:rPr>
        <w:t>将材料送至施工现场后，</w:t>
      </w:r>
      <w:r>
        <w:rPr>
          <w:rFonts w:hint="eastAsia" w:ascii="宋体" w:hAnsi="宋体" w:cs="宋体"/>
          <w:b w:val="0"/>
          <w:bCs w:val="0"/>
          <w:color w:val="auto"/>
          <w:highlight w:val="none"/>
          <w:lang w:val="en-US" w:eastAsia="zh-CN"/>
        </w:rPr>
        <w:t>3日内</w:t>
      </w:r>
      <w:r>
        <w:rPr>
          <w:rFonts w:hint="eastAsia" w:ascii="宋体" w:hAnsi="宋体" w:eastAsia="宋体" w:cs="宋体"/>
          <w:b w:val="0"/>
          <w:bCs w:val="0"/>
          <w:color w:val="auto"/>
          <w:highlight w:val="none"/>
        </w:rPr>
        <w:t>需方进行材料检测送检</w:t>
      </w:r>
      <w:r>
        <w:rPr>
          <w:rFonts w:hint="eastAsia" w:ascii="宋体" w:hAnsi="宋体" w:eastAsia="宋体" w:cs="宋体"/>
          <w:b w:val="0"/>
          <w:bCs w:val="0"/>
          <w:color w:val="auto"/>
          <w:highlight w:val="none"/>
        </w:rPr>
        <w:t>，在供方提供等额增值税专用发票、质量终身制承诺书及钢筋取样送检合格后</w:t>
      </w:r>
      <w:r>
        <w:rPr>
          <w:rFonts w:hint="eastAsia" w:ascii="宋体" w:hAnsi="宋体" w:cs="宋体"/>
          <w:b w:val="0"/>
          <w:bCs w:val="0"/>
          <w:color w:val="auto"/>
          <w:highlight w:val="none"/>
          <w:lang w:val="en-US" w:eastAsia="zh-CN"/>
        </w:rPr>
        <w:t>方可进行</w:t>
      </w:r>
      <w:r>
        <w:rPr>
          <w:rFonts w:hint="eastAsia" w:ascii="宋体" w:hAnsi="宋体" w:eastAsia="宋体" w:cs="宋体"/>
          <w:b w:val="0"/>
          <w:bCs w:val="0"/>
          <w:color w:val="auto"/>
          <w:highlight w:val="none"/>
        </w:rPr>
        <w:t>结算，</w:t>
      </w:r>
      <w:r>
        <w:rPr>
          <w:rFonts w:hint="eastAsia"/>
          <w:color w:val="auto"/>
          <w:highlight w:val="none"/>
        </w:rPr>
        <w:t>供货量每大于</w:t>
      </w:r>
      <w:r>
        <w:rPr>
          <w:rFonts w:hint="eastAsia"/>
          <w:color w:val="auto"/>
          <w:highlight w:val="none"/>
          <w:lang w:val="en-US" w:eastAsia="zh-CN"/>
        </w:rPr>
        <w:t>5</w:t>
      </w:r>
      <w:r>
        <w:rPr>
          <w:rFonts w:hint="eastAsia"/>
          <w:color w:val="auto"/>
          <w:highlight w:val="none"/>
        </w:rPr>
        <w:t>00吨</w:t>
      </w:r>
      <w:r>
        <w:rPr>
          <w:rFonts w:hint="eastAsia"/>
          <w:color w:val="auto"/>
          <w:highlight w:val="none"/>
          <w:lang w:val="en-US" w:eastAsia="zh-CN"/>
        </w:rPr>
        <w:t>对已检验合格钢材</w:t>
      </w:r>
      <w:r>
        <w:rPr>
          <w:rFonts w:hint="eastAsia" w:ascii="宋体" w:hAnsi="宋体" w:eastAsia="宋体" w:cs="宋体"/>
          <w:b w:val="0"/>
          <w:bCs w:val="0"/>
          <w:color w:val="auto"/>
          <w:highlight w:val="none"/>
        </w:rPr>
        <w:t>进行一次过程结算</w:t>
      </w:r>
      <w:r>
        <w:rPr>
          <w:rFonts w:hint="eastAsia" w:ascii="宋体" w:hAnsi="宋体" w:eastAsia="宋体" w:cs="宋体"/>
          <w:b w:val="0"/>
          <w:bCs w:val="0"/>
          <w:color w:val="auto"/>
          <w:highlight w:val="none"/>
        </w:rPr>
        <w:t>,</w:t>
      </w:r>
      <w:r>
        <w:rPr>
          <w:rFonts w:hint="eastAsia" w:ascii="宋体" w:hAnsi="宋体" w:cs="宋体"/>
          <w:b w:val="0"/>
          <w:bCs w:val="0"/>
          <w:color w:val="auto"/>
          <w:highlight w:val="none"/>
          <w:lang w:val="en-US" w:eastAsia="zh-CN"/>
        </w:rPr>
        <w:t>合同供货完成后进行最终结算。双方办理完结算手续后，招标人3天内将已结算货款</w:t>
      </w:r>
      <w:r>
        <w:rPr>
          <w:rFonts w:hint="eastAsia" w:ascii="宋体" w:hAnsi="宋体" w:eastAsia="宋体" w:cs="宋体"/>
          <w:b w:val="0"/>
          <w:bCs w:val="0"/>
          <w:color w:val="auto"/>
          <w:highlight w:val="none"/>
        </w:rPr>
        <w:t>汇入供</w:t>
      </w:r>
      <w:r>
        <w:rPr>
          <w:rFonts w:hint="eastAsia" w:ascii="宋体" w:hAnsi="宋体" w:eastAsia="宋体" w:cs="宋体"/>
          <w:b w:val="0"/>
          <w:bCs w:val="0"/>
          <w:color w:val="auto"/>
          <w:highlight w:val="none"/>
          <w:lang w:val="en-US" w:eastAsia="zh-CN"/>
        </w:rPr>
        <w:t>货</w:t>
      </w:r>
      <w:r>
        <w:rPr>
          <w:rFonts w:hint="eastAsia" w:ascii="宋体" w:hAnsi="宋体" w:eastAsia="宋体" w:cs="宋体"/>
          <w:b w:val="0"/>
          <w:bCs w:val="0"/>
          <w:color w:val="auto"/>
          <w:highlight w:val="none"/>
        </w:rPr>
        <w:t>方</w:t>
      </w:r>
      <w:r>
        <w:rPr>
          <w:rFonts w:hint="eastAsia" w:ascii="宋体" w:hAnsi="宋体" w:cs="宋体"/>
          <w:b w:val="0"/>
          <w:bCs w:val="0"/>
          <w:color w:val="auto"/>
          <w:highlight w:val="none"/>
          <w:lang w:val="en-US" w:eastAsia="zh-CN"/>
        </w:rPr>
        <w:t>在</w:t>
      </w:r>
      <w:r>
        <w:rPr>
          <w:rFonts w:hint="eastAsia" w:ascii="宋体" w:hAnsi="宋体" w:eastAsia="宋体" w:cs="宋体"/>
          <w:b w:val="0"/>
          <w:bCs w:val="0"/>
          <w:color w:val="auto"/>
          <w:highlight w:val="none"/>
        </w:rPr>
        <w:t>合同</w:t>
      </w:r>
      <w:r>
        <w:rPr>
          <w:rFonts w:hint="eastAsia" w:ascii="宋体" w:hAnsi="宋体" w:cs="宋体"/>
          <w:b w:val="0"/>
          <w:bCs w:val="0"/>
          <w:color w:val="auto"/>
          <w:highlight w:val="none"/>
          <w:lang w:val="en-US" w:eastAsia="zh-CN"/>
        </w:rPr>
        <w:t>中</w:t>
      </w:r>
      <w:r>
        <w:rPr>
          <w:rFonts w:hint="eastAsia" w:ascii="宋体" w:hAnsi="宋体" w:eastAsia="宋体" w:cs="宋体"/>
          <w:b w:val="0"/>
          <w:bCs w:val="0"/>
          <w:color w:val="auto"/>
          <w:highlight w:val="none"/>
        </w:rPr>
        <w:t>确定的账户内。</w:t>
      </w:r>
    </w:p>
    <w:p>
      <w:pPr>
        <w:keepNext w:val="0"/>
        <w:keepLines w:val="0"/>
        <w:pageBreakBefore w:val="0"/>
        <w:widowControl/>
        <w:kinsoku/>
        <w:wordWrap/>
        <w:overflowPunct/>
        <w:topLinePunct w:val="0"/>
        <w:autoSpaceDE/>
        <w:autoSpaceDN/>
        <w:bidi w:val="0"/>
        <w:adjustRightInd/>
        <w:spacing w:line="312" w:lineRule="auto"/>
        <w:ind w:firstLine="480"/>
        <w:textAlignment w:val="auto"/>
        <w:rPr>
          <w:rFonts w:hint="eastAsia"/>
          <w:b w:val="0"/>
          <w:bCs/>
          <w:color w:val="auto"/>
          <w:highlight w:val="none"/>
        </w:rPr>
      </w:pPr>
      <w:r>
        <w:rPr>
          <w:rFonts w:hint="eastAsia" w:ascii="宋体" w:hAnsi="宋体"/>
          <w:color w:val="auto"/>
          <w:szCs w:val="21"/>
          <w:highlight w:val="none"/>
          <w:lang w:val="en-US" w:eastAsia="zh-CN"/>
        </w:rPr>
        <w:t>5</w:t>
      </w:r>
      <w:r>
        <w:rPr>
          <w:rFonts w:hint="eastAsia" w:ascii="宋体" w:hAnsi="宋体" w:eastAsia="宋体"/>
          <w:color w:val="auto"/>
          <w:szCs w:val="21"/>
          <w:highlight w:val="none"/>
        </w:rPr>
        <w:t>、钢材供应时间及数量：</w:t>
      </w:r>
      <w:r>
        <w:rPr>
          <w:rFonts w:hint="eastAsia" w:ascii="宋体" w:hAnsi="宋体"/>
          <w:color w:val="auto"/>
          <w:szCs w:val="21"/>
          <w:highlight w:val="none"/>
          <w:lang w:val="en-US" w:eastAsia="zh-CN"/>
        </w:rPr>
        <w:t>北船闸、南船闸、桥梁钢筋总量约</w:t>
      </w:r>
      <w:r>
        <w:rPr>
          <w:rFonts w:hint="eastAsia" w:ascii="宋体" w:hAnsi="宋体"/>
          <w:color w:val="auto"/>
          <w:szCs w:val="21"/>
          <w:highlight w:val="none"/>
          <w:lang w:val="en-US" w:eastAsia="zh-CN"/>
        </w:rPr>
        <w:t>11289.6</w:t>
      </w:r>
      <w:r>
        <w:rPr>
          <w:rFonts w:hint="eastAsia" w:ascii="宋体" w:hAnsi="宋体"/>
          <w:color w:val="auto"/>
          <w:szCs w:val="21"/>
          <w:highlight w:val="none"/>
          <w:lang w:val="en-US" w:eastAsia="zh-CN"/>
        </w:rPr>
        <w:t>吨，</w:t>
      </w:r>
      <w:r>
        <w:rPr>
          <w:rFonts w:hint="eastAsia" w:ascii="宋体" w:hAnsi="宋体"/>
          <w:color w:val="auto"/>
          <w:szCs w:val="21"/>
          <w:highlight w:val="none"/>
          <w:lang w:eastAsia="zh-CN"/>
        </w:rPr>
        <w:t>2024年6月30日前</w:t>
      </w:r>
      <w:r>
        <w:rPr>
          <w:rFonts w:hint="eastAsia" w:ascii="宋体" w:hAnsi="宋体"/>
          <w:color w:val="auto"/>
          <w:szCs w:val="21"/>
          <w:highlight w:val="none"/>
          <w:lang w:val="en-US" w:eastAsia="zh-CN"/>
        </w:rPr>
        <w:t>须完成供货</w:t>
      </w:r>
      <w:r>
        <w:rPr>
          <w:rFonts w:hint="eastAsia" w:ascii="宋体" w:hAnsi="宋体"/>
          <w:color w:val="auto"/>
          <w:szCs w:val="21"/>
          <w:highlight w:val="none"/>
          <w:lang w:val="en-US" w:eastAsia="zh-CN"/>
        </w:rPr>
        <w:t>。</w:t>
      </w:r>
      <w:r>
        <w:rPr>
          <w:rFonts w:hint="eastAsia" w:ascii="宋体" w:hAnsi="宋体" w:eastAsia="宋体"/>
          <w:color w:val="auto"/>
          <w:szCs w:val="21"/>
          <w:highlight w:val="none"/>
        </w:rPr>
        <w:t>具体送货时间</w:t>
      </w:r>
      <w:r>
        <w:rPr>
          <w:rFonts w:hint="eastAsia" w:ascii="宋体" w:hAnsi="宋体"/>
          <w:color w:val="auto"/>
          <w:szCs w:val="21"/>
          <w:highlight w:val="none"/>
          <w:lang w:val="en-US" w:eastAsia="zh-CN"/>
        </w:rPr>
        <w:t>和规格</w:t>
      </w:r>
      <w:r>
        <w:rPr>
          <w:rFonts w:hint="eastAsia" w:ascii="宋体" w:hAnsi="宋体" w:eastAsia="宋体"/>
          <w:color w:val="auto"/>
          <w:szCs w:val="21"/>
          <w:highlight w:val="none"/>
        </w:rPr>
        <w:t>数量以项目部</w:t>
      </w:r>
      <w:r>
        <w:rPr>
          <w:rFonts w:hint="eastAsia" w:ascii="宋体" w:hAnsi="宋体"/>
          <w:color w:val="auto"/>
          <w:szCs w:val="21"/>
          <w:highlight w:val="none"/>
          <w:lang w:val="en-US" w:eastAsia="zh-CN"/>
        </w:rPr>
        <w:t>根据工期计划</w:t>
      </w:r>
      <w:r>
        <w:rPr>
          <w:rFonts w:hint="eastAsia" w:ascii="宋体" w:hAnsi="宋体"/>
          <w:color w:val="auto"/>
          <w:szCs w:val="21"/>
          <w:highlight w:val="none"/>
        </w:rPr>
        <w:t>提前</w:t>
      </w:r>
      <w:r>
        <w:rPr>
          <w:rFonts w:ascii="宋体" w:hAnsi="宋体"/>
          <w:color w:val="auto"/>
          <w:szCs w:val="21"/>
          <w:highlight w:val="none"/>
        </w:rPr>
        <w:t>3</w:t>
      </w:r>
      <w:r>
        <w:rPr>
          <w:rFonts w:hint="eastAsia" w:ascii="宋体" w:hAnsi="宋体"/>
          <w:color w:val="auto"/>
          <w:szCs w:val="21"/>
          <w:highlight w:val="none"/>
        </w:rPr>
        <w:t>天</w:t>
      </w:r>
      <w:r>
        <w:rPr>
          <w:rFonts w:hint="eastAsia" w:ascii="宋体" w:hAnsi="宋体" w:eastAsia="宋体"/>
          <w:color w:val="auto"/>
          <w:szCs w:val="21"/>
          <w:highlight w:val="none"/>
        </w:rPr>
        <w:t>出具的“</w:t>
      </w:r>
      <w:r>
        <w:rPr>
          <w:rFonts w:hint="eastAsia" w:ascii="宋体" w:hAnsi="宋体" w:eastAsia="宋体"/>
          <w:b/>
          <w:color w:val="auto"/>
          <w:szCs w:val="21"/>
          <w:highlight w:val="none"/>
        </w:rPr>
        <w:t>订货通知单”</w:t>
      </w:r>
      <w:r>
        <w:rPr>
          <w:rFonts w:hint="eastAsia" w:ascii="宋体" w:hAnsi="宋体" w:eastAsia="宋体"/>
          <w:color w:val="auto"/>
          <w:szCs w:val="21"/>
          <w:highlight w:val="none"/>
        </w:rPr>
        <w:t>通知为准</w:t>
      </w:r>
      <w:r>
        <w:rPr>
          <w:rFonts w:hint="eastAsia" w:ascii="宋体" w:hAnsi="宋体"/>
          <w:color w:val="auto"/>
          <w:szCs w:val="21"/>
          <w:highlight w:val="none"/>
          <w:lang w:eastAsia="zh-CN"/>
        </w:rPr>
        <w:t>，</w:t>
      </w:r>
      <w:r>
        <w:rPr>
          <w:rFonts w:hint="eastAsia" w:ascii="宋体" w:hAnsi="宋体" w:eastAsia="宋体"/>
          <w:color w:val="auto"/>
          <w:szCs w:val="21"/>
          <w:highlight w:val="none"/>
        </w:rPr>
        <w:t>“</w:t>
      </w:r>
      <w:r>
        <w:rPr>
          <w:rFonts w:hint="eastAsia" w:ascii="宋体" w:hAnsi="宋体" w:eastAsia="宋体"/>
          <w:b/>
          <w:color w:val="auto"/>
          <w:szCs w:val="21"/>
          <w:highlight w:val="none"/>
        </w:rPr>
        <w:t>订货通知单”</w:t>
      </w:r>
      <w:r>
        <w:rPr>
          <w:rFonts w:hint="eastAsia" w:ascii="宋体" w:hAnsi="宋体"/>
          <w:b/>
          <w:color w:val="auto"/>
          <w:szCs w:val="21"/>
          <w:highlight w:val="none"/>
          <w:lang w:val="en-US" w:eastAsia="zh-CN"/>
        </w:rPr>
        <w:t>分4次出具，</w:t>
      </w:r>
      <w:r>
        <w:rPr>
          <w:rFonts w:hint="eastAsia" w:ascii="宋体" w:hAnsi="宋体"/>
          <w:color w:val="auto"/>
          <w:szCs w:val="21"/>
          <w:highlight w:val="none"/>
          <w:lang w:val="en-US" w:eastAsia="zh-CN"/>
        </w:rPr>
        <w:t>第1次供货数量为3308.9吨须在7天内供完（北船闸用直径8-22mm钢筋），第2次供货数量为3192.7吨须在7天内供完（北船闸用直径25-32mm钢筋），第3次供货数量为3309.9吨须在7天内供完（南船闸用钢筋），第4次供货数量为1478.1吨（桥梁用钢筋）须在3天内供完</w:t>
      </w:r>
      <w:r>
        <w:rPr>
          <w:rFonts w:hint="eastAsia" w:ascii="宋体" w:hAnsi="宋体"/>
          <w:color w:val="auto"/>
          <w:szCs w:val="21"/>
          <w:highlight w:val="none"/>
          <w:lang w:val="en-US" w:eastAsia="zh-CN"/>
        </w:rPr>
        <w:t>，未按</w:t>
      </w:r>
      <w:r>
        <w:rPr>
          <w:rFonts w:hint="eastAsia" w:ascii="宋体" w:hAnsi="宋体" w:eastAsia="宋体"/>
          <w:color w:val="auto"/>
          <w:szCs w:val="21"/>
          <w:highlight w:val="none"/>
        </w:rPr>
        <w:t>“</w:t>
      </w:r>
      <w:r>
        <w:rPr>
          <w:rFonts w:hint="eastAsia" w:ascii="宋体" w:hAnsi="宋体" w:eastAsia="宋体"/>
          <w:b/>
          <w:color w:val="auto"/>
          <w:szCs w:val="21"/>
          <w:highlight w:val="none"/>
        </w:rPr>
        <w:t>订货通知单”</w:t>
      </w:r>
      <w:r>
        <w:rPr>
          <w:rFonts w:hint="eastAsia" w:ascii="宋体" w:hAnsi="宋体"/>
          <w:color w:val="auto"/>
          <w:szCs w:val="21"/>
          <w:highlight w:val="none"/>
          <w:lang w:val="en-US" w:eastAsia="zh-CN"/>
        </w:rPr>
        <w:t>要求送货</w:t>
      </w:r>
      <w:r>
        <w:rPr>
          <w:rFonts w:hint="eastAsia" w:ascii="宋体" w:hAnsi="宋体"/>
          <w:color w:val="auto"/>
          <w:szCs w:val="21"/>
          <w:highlight w:val="none"/>
          <w:lang w:val="en-US" w:eastAsia="zh-CN"/>
        </w:rPr>
        <w:t>属</w:t>
      </w:r>
      <w:r>
        <w:rPr>
          <w:rFonts w:hint="eastAsia" w:ascii="宋体" w:hAnsi="宋体"/>
          <w:b w:val="0"/>
          <w:bCs w:val="0"/>
          <w:color w:val="auto"/>
          <w:szCs w:val="21"/>
          <w:highlight w:val="none"/>
          <w:lang w:val="en-US" w:eastAsia="zh-CN"/>
        </w:rPr>
        <w:t>供货方违约行为</w:t>
      </w:r>
      <w:r>
        <w:rPr>
          <w:rFonts w:hint="eastAsia" w:ascii="宋体" w:hAnsi="宋体" w:eastAsia="宋体"/>
          <w:color w:val="auto"/>
          <w:szCs w:val="21"/>
          <w:highlight w:val="none"/>
        </w:rPr>
        <w:t>。</w:t>
      </w:r>
      <w:r>
        <w:rPr>
          <w:rFonts w:hint="eastAsia" w:ascii="宋体" w:hAnsi="宋体"/>
          <w:color w:val="auto"/>
          <w:szCs w:val="21"/>
          <w:highlight w:val="none"/>
          <w:lang w:val="en-US" w:eastAsia="zh-CN"/>
        </w:rPr>
        <w:t>钢材具体规格型号及数量见下表：</w:t>
      </w:r>
    </w:p>
    <w:tbl>
      <w:tblPr>
        <w:tblStyle w:val="12"/>
        <w:tblW w:w="9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2921"/>
        <w:gridCol w:w="3618"/>
        <w:gridCol w:w="2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tblHeader/>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品名</w:t>
            </w:r>
          </w:p>
        </w:tc>
        <w:tc>
          <w:tcPr>
            <w:tcW w:w="3618"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规格</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暂定数量（</w:t>
            </w:r>
            <w:r>
              <w:rPr>
                <w:rFonts w:hint="default" w:ascii="Times New Roman" w:hAnsi="Times New Roman" w:cs="Times New Roman"/>
                <w:color w:val="auto"/>
                <w:sz w:val="24"/>
                <w:szCs w:val="24"/>
                <w:highlight w:val="none"/>
                <w:lang w:val="en-US" w:eastAsia="zh-CN"/>
              </w:rPr>
              <w:t>吨</w:t>
            </w:r>
            <w:r>
              <w:rPr>
                <w:rFonts w:hint="default" w:ascii="Times New Roman" w:hAnsi="Times New Roman"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eastAsia="宋体"/>
                <w:color w:val="auto"/>
                <w:highlight w:val="none"/>
                <w:lang w:val="en-US" w:eastAsia="zh-CN"/>
              </w:rPr>
            </w:pPr>
            <w:r>
              <w:rPr>
                <w:rFonts w:hint="eastAsia"/>
                <w:b/>
                <w:bCs/>
                <w:color w:val="auto"/>
                <w:highlight w:val="none"/>
                <w:lang w:val="en-US" w:eastAsia="zh-CN"/>
              </w:rPr>
              <w:t>一、北船闸</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宋体" w:hAnsi="宋体" w:eastAsia="宋体" w:cs="宋体"/>
                <w:b/>
                <w:bCs/>
                <w:color w:val="auto"/>
                <w:sz w:val="24"/>
                <w:highlight w:val="none"/>
                <w:lang w:val="en-US" w:eastAsia="zh-CN"/>
              </w:rPr>
              <w:t>6501.6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w:t>
            </w:r>
            <w:r>
              <w:rPr>
                <w:rFonts w:hint="eastAsia" w:ascii="Times New Roman" w:hAnsi="Times New Roman" w:cs="Times New Roman"/>
                <w:color w:val="auto"/>
                <w:sz w:val="24"/>
                <w:szCs w:val="24"/>
                <w:highlight w:val="none"/>
                <w:lang w:val="en-US" w:eastAsia="zh-CN"/>
              </w:rPr>
              <w:t>10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HRB400直径1</w:t>
            </w:r>
            <w:r>
              <w:rPr>
                <w:rFonts w:hint="eastAsia" w:ascii="Times New Roman" w:hAnsi="Times New Roman" w:cs="Times New Roman"/>
                <w:color w:val="auto"/>
                <w:sz w:val="24"/>
                <w:szCs w:val="24"/>
                <w:highlight w:val="none"/>
                <w:lang w:val="en-US" w:eastAsia="zh-CN"/>
              </w:rPr>
              <w:t>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HRB400直径1</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14</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16</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907.1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1561.1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25</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2104.2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690.6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32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397.9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eastAsia="宋体"/>
                <w:color w:val="auto"/>
                <w:highlight w:val="none"/>
                <w:lang w:val="en-US" w:eastAsia="zh-CN"/>
              </w:rPr>
            </w:pPr>
            <w:r>
              <w:rPr>
                <w:rFonts w:hint="eastAsia"/>
                <w:b/>
                <w:bCs/>
                <w:color w:val="auto"/>
                <w:highlight w:val="none"/>
                <w:lang w:val="en-US" w:eastAsia="zh-CN"/>
              </w:rPr>
              <w:t>二、南船闸</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3309.9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w:t>
            </w:r>
            <w:r>
              <w:rPr>
                <w:rFonts w:hint="eastAsia" w:ascii="Times New Roman" w:hAnsi="Times New Roman" w:cs="Times New Roman"/>
                <w:color w:val="auto"/>
                <w:sz w:val="24"/>
                <w:szCs w:val="24"/>
                <w:highlight w:val="none"/>
                <w:lang w:val="en-US" w:eastAsia="zh-CN"/>
              </w:rPr>
              <w:t>10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14</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16</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991.5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color w:val="auto"/>
                <w:highlight w:val="none"/>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25</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eastAsia="宋体"/>
                <w:color w:val="auto"/>
                <w:highlight w:val="none"/>
                <w:lang w:val="en-US" w:eastAsia="zh-CN"/>
              </w:rPr>
            </w:pPr>
            <w:r>
              <w:rPr>
                <w:rFonts w:hint="eastAsia" w:ascii="Times New Roman" w:hAnsi="Times New Roman" w:eastAsia="宋体" w:cs="Times New Roman"/>
                <w:b/>
                <w:bCs/>
                <w:color w:val="auto"/>
                <w:highlight w:val="none"/>
                <w:lang w:val="en-US" w:eastAsia="zh-CN"/>
              </w:rPr>
              <w:t>三、桥梁</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cs="Times New Roman"/>
                <w:color w:val="auto"/>
                <w:sz w:val="24"/>
                <w:szCs w:val="24"/>
                <w:highlight w:val="none"/>
              </w:rPr>
            </w:pP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1478.1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00直径1</w:t>
            </w:r>
            <w:r>
              <w:rPr>
                <w:rFonts w:hint="eastAsia" w:ascii="Times New Roman" w:hAnsi="Times New Roman" w:cs="Times New Roman"/>
                <w:color w:val="auto"/>
                <w:sz w:val="24"/>
                <w:szCs w:val="24"/>
                <w:highlight w:val="none"/>
                <w:lang w:val="en-US" w:eastAsia="zh-CN"/>
              </w:rPr>
              <w:t>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w:t>
            </w:r>
            <w:r>
              <w:rPr>
                <w:rFonts w:hint="eastAsia"/>
                <w:color w:val="auto"/>
                <w:highlight w:val="none"/>
                <w:lang w:val="en-US" w:eastAsia="zh-CN"/>
              </w:rPr>
              <w:t>光圆</w:t>
            </w:r>
            <w:r>
              <w:rPr>
                <w:rFonts w:hint="eastAsia"/>
                <w:color w:val="auto"/>
                <w:highlight w:val="none"/>
              </w:rPr>
              <w:t>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HPB</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00直径1</w:t>
            </w:r>
            <w:r>
              <w:rPr>
                <w:rFonts w:hint="eastAsia" w:ascii="Times New Roman" w:hAnsi="Times New Roman" w:cs="Times New Roman"/>
                <w:color w:val="auto"/>
                <w:sz w:val="24"/>
                <w:szCs w:val="24"/>
                <w:highlight w:val="none"/>
                <w:lang w:val="en-US" w:eastAsia="zh-CN"/>
              </w:rPr>
              <w:t>6</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热轧带肋钢筋</w:t>
            </w:r>
          </w:p>
        </w:tc>
        <w:tc>
          <w:tcPr>
            <w:tcW w:w="3618"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HRB400直径1</w:t>
            </w:r>
            <w:r>
              <w:rPr>
                <w:rFonts w:hint="eastAsia"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14</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16</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20</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223.8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25</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188.2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28</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444.3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2921"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rPr>
                <w:rFonts w:hint="eastAsia" w:ascii="Times New Roman" w:hAnsi="Times New Roman" w:eastAsia="宋体" w:cs="Times New Roman"/>
                <w:color w:val="auto"/>
                <w:sz w:val="24"/>
                <w:highlight w:val="none"/>
                <w:lang w:val="en-US" w:eastAsia="zh-CN" w:bidi="ar-SA"/>
              </w:rPr>
            </w:pPr>
            <w:r>
              <w:rPr>
                <w:rFonts w:hint="eastAsia"/>
                <w:color w:val="auto"/>
                <w:highlight w:val="none"/>
              </w:rPr>
              <w:t>热轧带肋钢筋</w:t>
            </w:r>
          </w:p>
        </w:tc>
        <w:tc>
          <w:tcPr>
            <w:tcW w:w="3618" w:type="dxa"/>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HRB400直径</w:t>
            </w:r>
            <w:r>
              <w:rPr>
                <w:rFonts w:hint="eastAsia" w:ascii="Times New Roman" w:hAnsi="Times New Roman" w:cs="Times New Roman"/>
                <w:color w:val="auto"/>
                <w:sz w:val="24"/>
                <w:szCs w:val="24"/>
                <w:highlight w:val="none"/>
                <w:lang w:val="en-US" w:eastAsia="zh-CN"/>
              </w:rPr>
              <w:t>32</w:t>
            </w:r>
            <w:r>
              <w:rPr>
                <w:rFonts w:hint="default" w:ascii="Times New Roman" w:hAnsi="Times New Roman" w:cs="Times New Roman"/>
                <w:color w:val="auto"/>
                <w:sz w:val="24"/>
                <w:szCs w:val="24"/>
                <w:highlight w:val="none"/>
              </w:rPr>
              <w:t>mm</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69" w:hRule="atLeast"/>
          <w:jc w:val="center"/>
        </w:trPr>
        <w:tc>
          <w:tcPr>
            <w:tcW w:w="6539" w:type="dxa"/>
            <w:gridSpan w:val="2"/>
            <w:noWrap w:val="0"/>
            <w:vAlign w:val="center"/>
          </w:tcPr>
          <w:p>
            <w:pPr>
              <w:pStyle w:val="7"/>
              <w:keepNext w:val="0"/>
              <w:keepLines w:val="0"/>
              <w:pageBreakBefore w:val="0"/>
              <w:kinsoku/>
              <w:wordWrap/>
              <w:overflowPunct/>
              <w:topLinePunct w:val="0"/>
              <w:autoSpaceDE/>
              <w:autoSpaceDN/>
              <w:bidi w:val="0"/>
              <w:adjustRightInd/>
              <w:snapToGrid/>
              <w:spacing w:line="280" w:lineRule="exact"/>
              <w:ind w:firstLine="0" w:firstLineChars="0"/>
              <w:jc w:val="center"/>
              <w:rPr>
                <w:rFonts w:hint="default" w:ascii="宋体" w:hAnsi="宋体" w:eastAsia="宋体" w:cs="Courier New"/>
                <w:b/>
                <w:bCs/>
                <w:color w:val="auto"/>
                <w:kern w:val="2"/>
                <w:sz w:val="21"/>
                <w:szCs w:val="21"/>
                <w:highlight w:val="none"/>
                <w:lang w:val="en-US" w:eastAsia="zh-CN" w:bidi="ar-SA"/>
              </w:rPr>
            </w:pPr>
            <w:r>
              <w:rPr>
                <w:rFonts w:hint="eastAsia" w:cs="Times New Roman"/>
                <w:b/>
                <w:bCs/>
                <w:color w:val="auto"/>
                <w:sz w:val="24"/>
                <w:highlight w:val="none"/>
                <w:lang w:val="en-US" w:eastAsia="zh-CN" w:bidi="ar-SA"/>
              </w:rPr>
              <w:t>合计</w:t>
            </w:r>
          </w:p>
        </w:tc>
        <w:tc>
          <w:tcPr>
            <w:tcW w:w="2923" w:type="dxa"/>
            <w:noWrap w:val="0"/>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textAlignment w:val="center"/>
              <w:rPr>
                <w:rFonts w:hint="default" w:ascii="Times New Roman" w:hAnsi="Times New Roman" w:eastAsia="宋体" w:cs="Times New Roman"/>
                <w:b/>
                <w:bCs/>
                <w:color w:val="auto"/>
                <w:sz w:val="24"/>
                <w:szCs w:val="24"/>
                <w:highlight w:val="none"/>
                <w:lang w:val="en-US" w:eastAsia="zh-CN" w:bidi="ar-SA"/>
              </w:rPr>
            </w:pPr>
            <w:r>
              <w:rPr>
                <w:rFonts w:hint="eastAsia" w:ascii="Times New Roman" w:hAnsi="Times New Roman" w:eastAsia="宋体" w:cs="Times New Roman"/>
                <w:b/>
                <w:bCs/>
                <w:color w:val="auto"/>
                <w:sz w:val="24"/>
                <w:szCs w:val="24"/>
                <w:highlight w:val="none"/>
                <w:lang w:val="en-US" w:eastAsia="zh-CN" w:bidi="ar-SA"/>
              </w:rPr>
              <w:t>11289.6</w:t>
            </w:r>
          </w:p>
        </w:tc>
      </w:tr>
    </w:tbl>
    <w:p>
      <w:pPr>
        <w:keepNext w:val="0"/>
        <w:keepLines w:val="0"/>
        <w:pageBreakBefore w:val="0"/>
        <w:kinsoku/>
        <w:wordWrap/>
        <w:overflowPunct/>
        <w:topLinePunct w:val="0"/>
        <w:autoSpaceDE/>
        <w:autoSpaceDN/>
        <w:bidi w:val="0"/>
        <w:adjustRightInd/>
        <w:snapToGrid w:val="0"/>
        <w:spacing w:line="293" w:lineRule="auto"/>
        <w:ind w:left="482" w:firstLine="0" w:firstLineChars="0"/>
        <w:textAlignment w:val="auto"/>
        <w:outlineLvl w:val="0"/>
        <w:rPr>
          <w:rFonts w:ascii="宋体" w:hAnsi="宋体" w:eastAsia="宋体" w:cs="宋体"/>
          <w:b/>
          <w:color w:val="auto"/>
          <w:highlight w:val="none"/>
        </w:rPr>
      </w:pPr>
      <w:r>
        <w:rPr>
          <w:rFonts w:hint="eastAsia" w:ascii="宋体" w:hAnsi="宋体" w:eastAsia="宋体" w:cs="宋体"/>
          <w:b/>
          <w:color w:val="auto"/>
          <w:highlight w:val="none"/>
        </w:rPr>
        <w:t>三、投标人资格要求</w:t>
      </w:r>
    </w:p>
    <w:p>
      <w:pPr>
        <w:keepNext w:val="0"/>
        <w:keepLines w:val="0"/>
        <w:pageBreakBefore w:val="0"/>
        <w:kinsoku/>
        <w:wordWrap/>
        <w:overflowPunct/>
        <w:topLinePunct w:val="0"/>
        <w:autoSpaceDE/>
        <w:autoSpaceDN/>
        <w:bidi w:val="0"/>
        <w:adjustRightInd/>
        <w:spacing w:line="293" w:lineRule="auto"/>
        <w:ind w:firstLine="480"/>
        <w:textAlignment w:val="auto"/>
        <w:rPr>
          <w:rFonts w:ascii="宋体" w:hAnsi="宋体" w:eastAsia="宋体"/>
          <w:color w:val="auto"/>
          <w:szCs w:val="21"/>
          <w:highlight w:val="none"/>
        </w:rPr>
      </w:pPr>
      <w:r>
        <w:rPr>
          <w:rFonts w:hint="eastAsia" w:ascii="宋体" w:hAnsi="宋体" w:eastAsia="宋体"/>
          <w:color w:val="auto"/>
          <w:szCs w:val="21"/>
          <w:highlight w:val="none"/>
        </w:rPr>
        <w:t>本次招标实行资格后审，供应商先根据技术参数报价，待确定中标候选人时，我公司将通知中标候选人携带资料进行审核，携带的资料为：投标单位法人营业执照原件或加盖单位公章的复印件、售后与服务承诺书及以前向其他单位供货的证明资料（如开具增值税发票的存根联）。如中标单位已是我公司合格供方，则不需要进行资格后审。</w:t>
      </w:r>
    </w:p>
    <w:p>
      <w:pPr>
        <w:keepNext w:val="0"/>
        <w:keepLines w:val="0"/>
        <w:pageBreakBefore w:val="0"/>
        <w:shd w:val="clear" w:color="auto" w:fill="auto"/>
        <w:kinsoku/>
        <w:wordWrap/>
        <w:overflowPunct/>
        <w:topLinePunct w:val="0"/>
        <w:autoSpaceDE/>
        <w:autoSpaceDN/>
        <w:bidi w:val="0"/>
        <w:adjustRightInd/>
        <w:snapToGrid w:val="0"/>
        <w:spacing w:line="293" w:lineRule="auto"/>
        <w:ind w:left="482" w:firstLine="0" w:firstLineChars="0"/>
        <w:textAlignment w:val="auto"/>
        <w:rPr>
          <w:rFonts w:ascii="宋体" w:hAnsi="宋体" w:cs="宋体"/>
          <w:b/>
          <w:color w:val="auto"/>
          <w:highlight w:val="none"/>
        </w:rPr>
      </w:pPr>
      <w:r>
        <w:rPr>
          <w:rFonts w:hint="eastAsia" w:ascii="宋体" w:hAnsi="宋体" w:cs="宋体"/>
          <w:b/>
          <w:color w:val="auto"/>
          <w:highlight w:val="none"/>
        </w:rPr>
        <w:t>四、投标保证金、投标和开标时间、地点</w:t>
      </w:r>
    </w:p>
    <w:p>
      <w:pPr>
        <w:keepNext w:val="0"/>
        <w:keepLines w:val="0"/>
        <w:pageBreakBefore w:val="0"/>
        <w:shd w:val="clear" w:color="auto" w:fill="auto"/>
        <w:kinsoku/>
        <w:wordWrap/>
        <w:overflowPunct/>
        <w:topLinePunct w:val="0"/>
        <w:autoSpaceDE/>
        <w:autoSpaceDN/>
        <w:bidi w:val="0"/>
        <w:adjustRightInd/>
        <w:spacing w:line="293" w:lineRule="auto"/>
        <w:ind w:firstLine="482"/>
        <w:textAlignment w:val="auto"/>
        <w:rPr>
          <w:rFonts w:hint="eastAsia" w:ascii="宋体" w:hAnsi="宋体" w:cs="宋体"/>
          <w:b/>
          <w:bCs/>
          <w:color w:val="auto"/>
          <w:highlight w:val="none"/>
        </w:rPr>
      </w:pPr>
      <w:r>
        <w:rPr>
          <w:rFonts w:hint="eastAsia" w:ascii="宋体" w:hAnsi="宋体" w:cs="宋体"/>
          <w:b/>
          <w:bCs/>
          <w:color w:val="auto"/>
          <w:highlight w:val="none"/>
        </w:rPr>
        <w:t>1、投标保证金</w:t>
      </w:r>
    </w:p>
    <w:p>
      <w:pPr>
        <w:keepNext w:val="0"/>
        <w:keepLines w:val="0"/>
        <w:pageBreakBefore w:val="0"/>
        <w:shd w:val="clear" w:color="auto" w:fill="auto"/>
        <w:kinsoku/>
        <w:wordWrap/>
        <w:overflowPunct/>
        <w:topLinePunct w:val="0"/>
        <w:autoSpaceDE/>
        <w:autoSpaceDN/>
        <w:bidi w:val="0"/>
        <w:adjustRightInd/>
        <w:spacing w:line="293" w:lineRule="auto"/>
        <w:ind w:firstLine="480"/>
        <w:textAlignment w:val="auto"/>
        <w:rPr>
          <w:rFonts w:ascii="宋体" w:hAnsi="宋体" w:cs="-webkit-standard"/>
          <w:color w:val="auto"/>
          <w:highlight w:val="none"/>
        </w:rPr>
      </w:pPr>
      <w:r>
        <w:rPr>
          <w:rFonts w:hint="eastAsia" w:ascii="宋体" w:hAnsi="宋体" w:cs="宋体"/>
          <w:color w:val="auto"/>
          <w:highlight w:val="none"/>
        </w:rPr>
        <w:t>请投标人在</w:t>
      </w:r>
      <w:r>
        <w:rPr>
          <w:rFonts w:hint="eastAsia" w:ascii="宋体" w:hAnsi="宋体"/>
          <w:b w:val="0"/>
          <w:bCs w:val="0"/>
          <w:color w:val="auto"/>
          <w:szCs w:val="24"/>
          <w:highlight w:val="none"/>
        </w:rPr>
        <w:t>2024年5月</w:t>
      </w:r>
      <w:r>
        <w:rPr>
          <w:rFonts w:hint="eastAsia" w:ascii="宋体" w:hAnsi="宋体"/>
          <w:color w:val="auto"/>
          <w:szCs w:val="24"/>
          <w:highlight w:val="none"/>
          <w:lang w:val="en-US" w:eastAsia="zh-CN"/>
        </w:rPr>
        <w:t>24</w:t>
      </w:r>
      <w:bookmarkStart w:id="9" w:name="_GoBack"/>
      <w:bookmarkEnd w:id="9"/>
      <w:r>
        <w:rPr>
          <w:rFonts w:hint="eastAsia" w:ascii="宋体" w:hAnsi="宋体"/>
          <w:color w:val="auto"/>
          <w:szCs w:val="24"/>
          <w:highlight w:val="none"/>
          <w:lang w:val="en-US" w:eastAsia="zh-CN"/>
        </w:rPr>
        <w:t>日</w:t>
      </w:r>
      <w:r>
        <w:rPr>
          <w:rFonts w:hint="eastAsia" w:ascii="宋体" w:hAnsi="宋体"/>
          <w:b w:val="0"/>
          <w:bCs w:val="0"/>
          <w:color w:val="auto"/>
          <w:szCs w:val="24"/>
          <w:highlight w:val="none"/>
        </w:rPr>
        <w:t>下午</w:t>
      </w:r>
      <w:r>
        <w:rPr>
          <w:rFonts w:hint="eastAsia" w:ascii="宋体" w:hAnsi="宋体" w:cs="宋体"/>
          <w:b w:val="0"/>
          <w:bCs w:val="0"/>
          <w:color w:val="auto"/>
          <w:highlight w:val="none"/>
          <w:lang w:val="en-US" w:eastAsia="zh-CN"/>
        </w:rPr>
        <w:t>14</w:t>
      </w:r>
      <w:r>
        <w:rPr>
          <w:rFonts w:hint="eastAsia" w:ascii="宋体" w:hAnsi="宋体" w:cs="宋体"/>
          <w:b w:val="0"/>
          <w:bCs w:val="0"/>
          <w:color w:val="auto"/>
          <w:highlight w:val="none"/>
        </w:rPr>
        <w:t>:00</w:t>
      </w:r>
      <w:r>
        <w:rPr>
          <w:rFonts w:hint="eastAsia" w:ascii="宋体" w:hAnsi="宋体" w:cs="宋体"/>
          <w:b/>
          <w:bCs/>
          <w:color w:val="auto"/>
          <w:highlight w:val="none"/>
        </w:rPr>
        <w:t>前</w:t>
      </w:r>
      <w:r>
        <w:rPr>
          <w:rFonts w:hint="eastAsia" w:ascii="宋体" w:hAnsi="宋体" w:cs="宋体"/>
          <w:color w:val="auto"/>
          <w:highlight w:val="none"/>
        </w:rPr>
        <w:t>将投标保证金</w:t>
      </w:r>
      <w:r>
        <w:rPr>
          <w:rFonts w:hint="eastAsia" w:ascii="宋体" w:hAnsi="宋体" w:cs="宋体"/>
          <w:b/>
          <w:bCs/>
          <w:color w:val="auto"/>
          <w:highlight w:val="none"/>
          <w:lang w:val="en-US" w:eastAsia="zh-CN"/>
        </w:rPr>
        <w:t>捌拾万元</w:t>
      </w:r>
      <w:r>
        <w:rPr>
          <w:rFonts w:hint="eastAsia" w:ascii="宋体" w:hAnsi="宋体" w:cs="宋体"/>
          <w:b w:val="0"/>
          <w:bCs w:val="0"/>
          <w:color w:val="auto"/>
          <w:highlight w:val="none"/>
        </w:rPr>
        <w:t>整汇入我公</w:t>
      </w:r>
      <w:r>
        <w:rPr>
          <w:rFonts w:hint="eastAsia" w:ascii="宋体" w:hAnsi="宋体" w:cs="宋体"/>
          <w:color w:val="auto"/>
          <w:highlight w:val="none"/>
        </w:rPr>
        <w:t>司银行账户，</w:t>
      </w:r>
      <w:r>
        <w:rPr>
          <w:rFonts w:hint="eastAsia" w:ascii="宋体" w:hAnsi="宋体" w:cs="宋体"/>
          <w:b/>
          <w:bCs/>
          <w:color w:val="auto"/>
          <w:highlight w:val="none"/>
        </w:rPr>
        <w:t>汇款备注：</w:t>
      </w:r>
      <w:r>
        <w:rPr>
          <w:rFonts w:hint="eastAsia" w:ascii="宋体" w:hAnsi="宋体" w:cs="宋体"/>
          <w:b/>
          <w:bCs/>
          <w:color w:val="auto"/>
          <w:highlight w:val="none"/>
          <w:u w:val="none"/>
          <w:lang w:val="en-US" w:eastAsia="zh-CN"/>
        </w:rPr>
        <w:t>滨海枢纽二期</w:t>
      </w:r>
      <w:r>
        <w:rPr>
          <w:rFonts w:hint="eastAsia" w:ascii="宋体" w:hAnsi="宋体" w:cs="宋体"/>
          <w:b/>
          <w:bCs/>
          <w:color w:val="auto"/>
          <w:highlight w:val="none"/>
          <w:u w:val="none"/>
          <w:lang w:eastAsia="zh-CN"/>
        </w:rPr>
        <w:t>钢材</w:t>
      </w:r>
      <w:r>
        <w:rPr>
          <w:rFonts w:hint="eastAsia" w:ascii="宋体" w:hAnsi="宋体" w:cs="宋体"/>
          <w:b/>
          <w:bCs/>
          <w:color w:val="auto"/>
          <w:highlight w:val="none"/>
          <w:u w:val="none"/>
          <w:lang w:val="en-US" w:eastAsia="zh-CN"/>
        </w:rPr>
        <w:t>采购</w:t>
      </w:r>
      <w:r>
        <w:rPr>
          <w:rFonts w:hint="eastAsia" w:ascii="宋体" w:hAnsi="宋体" w:cs="宋体"/>
          <w:b/>
          <w:bCs/>
          <w:color w:val="auto"/>
          <w:highlight w:val="none"/>
          <w:u w:val="none"/>
          <w:lang w:eastAsia="zh-CN"/>
        </w:rPr>
        <w:t>投标保证金，</w:t>
      </w:r>
      <w:r>
        <w:rPr>
          <w:rFonts w:hint="eastAsia" w:ascii="宋体" w:hAnsi="宋体" w:cs="宋体"/>
          <w:color w:val="auto"/>
          <w:highlight w:val="none"/>
        </w:rPr>
        <w:t>其他方式的投标担保一律作无效标处理</w:t>
      </w:r>
      <w:r>
        <w:rPr>
          <w:rFonts w:hint="eastAsia" w:ascii="宋体" w:hAnsi="宋体" w:cs="宋体"/>
          <w:color w:val="auto"/>
          <w:highlight w:val="none"/>
        </w:rPr>
        <w:t>。未中标投标保证金在江苏水建集中采购平台发布中标通知书之日起7个工作日内无息退还。中标人投标保证金待签订合同并交纳履约保证金后无息退还。投标保证金接收账户如下：</w:t>
      </w:r>
    </w:p>
    <w:p>
      <w:pPr>
        <w:keepNext w:val="0"/>
        <w:keepLines w:val="0"/>
        <w:pageBreakBefore w:val="0"/>
        <w:shd w:val="clear" w:color="auto" w:fill="auto"/>
        <w:kinsoku/>
        <w:wordWrap/>
        <w:overflowPunct/>
        <w:topLinePunct w:val="0"/>
        <w:autoSpaceDE/>
        <w:autoSpaceDN/>
        <w:bidi w:val="0"/>
        <w:adjustRightInd/>
        <w:spacing w:line="293" w:lineRule="auto"/>
        <w:ind w:firstLine="1200" w:firstLineChars="500"/>
        <w:textAlignment w:val="auto"/>
        <w:rPr>
          <w:rFonts w:hint="eastAsia" w:ascii="宋体" w:hAnsi="宋体" w:cs="宋体"/>
          <w:color w:val="auto"/>
          <w:highlight w:val="none"/>
        </w:rPr>
      </w:pPr>
      <w:r>
        <w:rPr>
          <w:rFonts w:hint="eastAsia" w:ascii="宋体" w:hAnsi="宋体" w:cs="宋体"/>
          <w:color w:val="auto"/>
          <w:highlight w:val="none"/>
        </w:rPr>
        <w:t>户</w:t>
      </w:r>
      <w:r>
        <w:rPr>
          <w:rFonts w:hint="eastAsia" w:ascii="宋体" w:hAnsi="宋体"/>
          <w:color w:val="auto"/>
          <w:highlight w:val="none"/>
        </w:rPr>
        <w:t xml:space="preserve">    </w:t>
      </w:r>
      <w:r>
        <w:rPr>
          <w:rFonts w:hint="eastAsia" w:ascii="宋体" w:hAnsi="宋体" w:cs="宋体"/>
          <w:color w:val="auto"/>
          <w:highlight w:val="none"/>
        </w:rPr>
        <w:t>名：江苏省水利建设工程有限公司</w:t>
      </w:r>
    </w:p>
    <w:p>
      <w:pPr>
        <w:keepNext w:val="0"/>
        <w:keepLines w:val="0"/>
        <w:pageBreakBefore w:val="0"/>
        <w:shd w:val="clear" w:color="auto" w:fill="auto"/>
        <w:kinsoku/>
        <w:wordWrap/>
        <w:overflowPunct/>
        <w:topLinePunct w:val="0"/>
        <w:autoSpaceDE/>
        <w:autoSpaceDN/>
        <w:bidi w:val="0"/>
        <w:adjustRightInd/>
        <w:spacing w:line="293" w:lineRule="auto"/>
        <w:ind w:firstLine="1200" w:firstLineChars="500"/>
        <w:textAlignment w:val="auto"/>
        <w:rPr>
          <w:rFonts w:ascii="宋体" w:hAnsi="宋体" w:cs="-webkit-standard"/>
          <w:color w:val="auto"/>
          <w:highlight w:val="none"/>
        </w:rPr>
      </w:pPr>
      <w:r>
        <w:rPr>
          <w:rFonts w:hint="eastAsia" w:ascii="宋体" w:hAnsi="宋体" w:cs="宋体"/>
          <w:color w:val="auto"/>
          <w:highlight w:val="none"/>
        </w:rPr>
        <w:t>开户银行：</w:t>
      </w:r>
      <w:r>
        <w:rPr>
          <w:rFonts w:hint="eastAsia" w:ascii="宋体" w:hAnsi="宋体" w:cs="宋体"/>
          <w:bCs/>
          <w:color w:val="auto"/>
          <w:highlight w:val="none"/>
        </w:rPr>
        <w:t>中国建设银行扬州市琼花支行</w:t>
      </w:r>
    </w:p>
    <w:p>
      <w:pPr>
        <w:keepNext w:val="0"/>
        <w:keepLines w:val="0"/>
        <w:pageBreakBefore w:val="0"/>
        <w:shd w:val="clear" w:color="auto" w:fill="auto"/>
        <w:kinsoku/>
        <w:wordWrap/>
        <w:overflowPunct/>
        <w:topLinePunct w:val="0"/>
        <w:autoSpaceDE/>
        <w:autoSpaceDN/>
        <w:bidi w:val="0"/>
        <w:adjustRightInd/>
        <w:spacing w:line="293" w:lineRule="auto"/>
        <w:ind w:firstLine="1200" w:firstLineChars="500"/>
        <w:textAlignment w:val="auto"/>
        <w:rPr>
          <w:rFonts w:ascii="宋体" w:hAnsi="宋体" w:cs="宋体"/>
          <w:bCs/>
          <w:color w:val="auto"/>
          <w:highlight w:val="none"/>
        </w:rPr>
      </w:pPr>
      <w:r>
        <w:rPr>
          <w:rFonts w:hint="eastAsia" w:ascii="宋体" w:hAnsi="宋体" w:cs="宋体"/>
          <w:color w:val="auto"/>
          <w:highlight w:val="none"/>
        </w:rPr>
        <w:t>账</w:t>
      </w:r>
      <w:r>
        <w:rPr>
          <w:rFonts w:hint="eastAsia" w:ascii="宋体" w:hAnsi="宋体"/>
          <w:color w:val="auto"/>
          <w:highlight w:val="none"/>
        </w:rPr>
        <w:t xml:space="preserve">    </w:t>
      </w:r>
      <w:r>
        <w:rPr>
          <w:rFonts w:hint="eastAsia" w:ascii="宋体" w:hAnsi="宋体" w:cs="宋体"/>
          <w:color w:val="auto"/>
          <w:highlight w:val="none"/>
        </w:rPr>
        <w:t>号：</w:t>
      </w:r>
      <w:r>
        <w:rPr>
          <w:rFonts w:ascii="宋体" w:hAnsi="宋体" w:cs="宋体"/>
          <w:bCs/>
          <w:color w:val="auto"/>
          <w:highlight w:val="none"/>
        </w:rPr>
        <w:t>32001745736050488688</w:t>
      </w:r>
    </w:p>
    <w:p>
      <w:pPr>
        <w:keepNext w:val="0"/>
        <w:keepLines w:val="0"/>
        <w:pageBreakBefore w:val="0"/>
        <w:shd w:val="clear" w:color="auto" w:fill="auto"/>
        <w:kinsoku/>
        <w:wordWrap/>
        <w:overflowPunct/>
        <w:topLinePunct w:val="0"/>
        <w:autoSpaceDE/>
        <w:autoSpaceDN/>
        <w:bidi w:val="0"/>
        <w:adjustRightInd/>
        <w:snapToGrid w:val="0"/>
        <w:spacing w:line="293" w:lineRule="auto"/>
        <w:ind w:firstLine="482"/>
        <w:textAlignment w:val="auto"/>
        <w:rPr>
          <w:rFonts w:hint="eastAsia" w:ascii="宋体" w:hAnsi="宋体"/>
          <w:strike/>
          <w:color w:val="auto"/>
          <w:szCs w:val="24"/>
          <w:highlight w:val="none"/>
        </w:rPr>
      </w:pPr>
      <w:r>
        <w:rPr>
          <w:rFonts w:hint="eastAsia" w:ascii="宋体" w:hAnsi="宋体"/>
          <w:b/>
          <w:bCs/>
          <w:color w:val="auto"/>
          <w:szCs w:val="24"/>
          <w:highlight w:val="none"/>
        </w:rPr>
        <w:t>2、</w:t>
      </w:r>
      <w:r>
        <w:rPr>
          <w:rFonts w:hint="eastAsia" w:ascii="宋体" w:hAnsi="宋体"/>
          <w:b/>
          <w:bCs/>
          <w:color w:val="auto"/>
          <w:szCs w:val="24"/>
          <w:highlight w:val="none"/>
        </w:rPr>
        <w:t>投标方式、时间</w:t>
      </w:r>
    </w:p>
    <w:p>
      <w:pPr>
        <w:keepNext w:val="0"/>
        <w:keepLines w:val="0"/>
        <w:pageBreakBefore w:val="0"/>
        <w:shd w:val="clear" w:color="auto" w:fill="auto"/>
        <w:kinsoku/>
        <w:wordWrap/>
        <w:overflowPunct/>
        <w:topLinePunct w:val="0"/>
        <w:autoSpaceDE/>
        <w:autoSpaceDN/>
        <w:bidi w:val="0"/>
        <w:adjustRightInd/>
        <w:snapToGrid w:val="0"/>
        <w:spacing w:line="293" w:lineRule="auto"/>
        <w:ind w:firstLine="480"/>
        <w:textAlignment w:val="auto"/>
        <w:rPr>
          <w:rFonts w:hint="eastAsia" w:ascii="宋体" w:hAnsi="宋体"/>
          <w:color w:val="auto"/>
          <w:szCs w:val="24"/>
          <w:highlight w:val="none"/>
        </w:rPr>
      </w:pPr>
      <w:r>
        <w:rPr>
          <w:rFonts w:hint="eastAsia" w:ascii="宋体" w:hAnsi="宋体"/>
          <w:color w:val="auto"/>
          <w:szCs w:val="24"/>
          <w:highlight w:val="none"/>
        </w:rPr>
        <w:t>本次投标采取网上投标方式，投标人于</w:t>
      </w:r>
      <w:r>
        <w:rPr>
          <w:rFonts w:hint="eastAsia" w:ascii="宋体" w:hAnsi="宋体" w:cs="宋体"/>
          <w:b w:val="0"/>
          <w:bCs w:val="0"/>
          <w:color w:val="auto"/>
          <w:highlight w:val="none"/>
        </w:rPr>
        <w:t>2024年5月</w:t>
      </w:r>
      <w:r>
        <w:rPr>
          <w:rFonts w:hint="eastAsia" w:ascii="宋体" w:hAnsi="宋体"/>
          <w:color w:val="auto"/>
          <w:szCs w:val="24"/>
          <w:highlight w:val="none"/>
          <w:lang w:val="en-US" w:eastAsia="zh-CN"/>
        </w:rPr>
        <w:t>24日</w:t>
      </w:r>
      <w:r>
        <w:rPr>
          <w:rFonts w:hint="eastAsia" w:ascii="宋体" w:hAnsi="宋体" w:cs="宋体"/>
          <w:b w:val="0"/>
          <w:bCs w:val="0"/>
          <w:color w:val="auto"/>
          <w:highlight w:val="none"/>
        </w:rPr>
        <w:t>下午</w:t>
      </w:r>
      <w:r>
        <w:rPr>
          <w:rFonts w:hint="eastAsia" w:ascii="宋体" w:hAnsi="宋体" w:cs="宋体"/>
          <w:b w:val="0"/>
          <w:bCs w:val="0"/>
          <w:color w:val="auto"/>
          <w:highlight w:val="none"/>
          <w:lang w:val="en-US" w:eastAsia="zh-CN"/>
        </w:rPr>
        <w:t>14</w:t>
      </w:r>
      <w:r>
        <w:rPr>
          <w:rFonts w:hint="eastAsia" w:ascii="宋体" w:hAnsi="宋体" w:cs="宋体"/>
          <w:b w:val="0"/>
          <w:bCs w:val="0"/>
          <w:color w:val="auto"/>
          <w:highlight w:val="none"/>
        </w:rPr>
        <w:t>:</w:t>
      </w:r>
      <w:r>
        <w:rPr>
          <w:rFonts w:hint="eastAsia" w:ascii="宋体" w:hAnsi="宋体" w:cs="宋体"/>
          <w:b w:val="0"/>
          <w:bCs w:val="0"/>
          <w:color w:val="auto"/>
          <w:highlight w:val="none"/>
          <w:lang w:val="en-US" w:eastAsia="zh-CN"/>
        </w:rPr>
        <w:t>3</w:t>
      </w:r>
      <w:r>
        <w:rPr>
          <w:rFonts w:hint="eastAsia" w:ascii="宋体" w:hAnsi="宋体" w:cs="宋体"/>
          <w:b w:val="0"/>
          <w:bCs w:val="0"/>
          <w:color w:val="auto"/>
          <w:highlight w:val="none"/>
        </w:rPr>
        <w:t>0</w:t>
      </w:r>
      <w:r>
        <w:rPr>
          <w:rFonts w:hint="eastAsia" w:ascii="宋体" w:hAnsi="宋体"/>
          <w:color w:val="auto"/>
          <w:szCs w:val="24"/>
          <w:highlight w:val="none"/>
        </w:rPr>
        <w:t>前将投标文件加盖公章后并扫描上传至江苏水建集中采购平台，投标单位可与朱丽13218960628联系获取江苏水建集中采购平台操作手册。</w:t>
      </w:r>
    </w:p>
    <w:p>
      <w:pPr>
        <w:keepNext w:val="0"/>
        <w:keepLines w:val="0"/>
        <w:pageBreakBefore w:val="0"/>
        <w:shd w:val="clear" w:color="auto" w:fill="auto"/>
        <w:kinsoku/>
        <w:wordWrap/>
        <w:overflowPunct/>
        <w:topLinePunct w:val="0"/>
        <w:autoSpaceDE/>
        <w:autoSpaceDN/>
        <w:bidi w:val="0"/>
        <w:adjustRightInd/>
        <w:snapToGrid w:val="0"/>
        <w:spacing w:line="293" w:lineRule="auto"/>
        <w:ind w:firstLine="480"/>
        <w:textAlignment w:val="auto"/>
        <w:rPr>
          <w:rFonts w:hint="eastAsia" w:ascii="宋体" w:hAnsi="宋体"/>
          <w:color w:val="auto"/>
          <w:szCs w:val="24"/>
          <w:highlight w:val="none"/>
        </w:rPr>
      </w:pPr>
      <w:r>
        <w:rPr>
          <w:rFonts w:hint="default" w:ascii="Times New Roman" w:hAnsi="Times New Roman" w:cs="Times New Roman"/>
          <w:b/>
          <w:bCs/>
          <w:color w:val="auto"/>
          <w:highlight w:val="none"/>
        </w:rPr>
        <w:t>投标文件</w:t>
      </w:r>
      <w:r>
        <w:rPr>
          <w:rFonts w:hint="default" w:ascii="Times New Roman" w:hAnsi="Times New Roman" w:cs="Times New Roman"/>
          <w:color w:val="auto"/>
          <w:highlight w:val="none"/>
        </w:rPr>
        <w:t>由报价表、法人营业执照复印件、投标单位概况（含以前供应给其他单位的业绩说明）、本次供应钢材的售后与服务承诺书</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格式合同</w:t>
      </w:r>
      <w:r>
        <w:rPr>
          <w:rFonts w:hint="eastAsia" w:cs="Times New Roman"/>
          <w:color w:val="auto"/>
          <w:highlight w:val="none"/>
          <w:lang w:eastAsia="zh-CN"/>
        </w:rPr>
        <w:t>、</w:t>
      </w:r>
      <w:r>
        <w:rPr>
          <w:rFonts w:hint="eastAsia" w:cs="Times New Roman"/>
          <w:color w:val="auto"/>
          <w:highlight w:val="none"/>
          <w:lang w:val="en-US" w:eastAsia="zh-CN"/>
        </w:rPr>
        <w:t>向</w:t>
      </w:r>
      <w:r>
        <w:rPr>
          <w:rFonts w:hint="eastAsia" w:ascii="宋体" w:hAnsi="宋体" w:eastAsia="宋体"/>
          <w:color w:val="auto"/>
          <w:szCs w:val="21"/>
          <w:highlight w:val="none"/>
        </w:rPr>
        <w:t>其他单位供货的证明资料（如开具增值税发票的存根联）</w:t>
      </w:r>
      <w:r>
        <w:rPr>
          <w:rFonts w:hint="default" w:ascii="Times New Roman" w:hAnsi="Times New Roman" w:cs="Times New Roman"/>
          <w:color w:val="auto"/>
          <w:highlight w:val="none"/>
        </w:rPr>
        <w:t>等</w:t>
      </w:r>
      <w:r>
        <w:rPr>
          <w:rFonts w:hint="eastAsia" w:cs="Times New Roman"/>
          <w:color w:val="auto"/>
          <w:highlight w:val="none"/>
          <w:lang w:val="en-US" w:eastAsia="zh-CN"/>
        </w:rPr>
        <w:t>组成</w:t>
      </w:r>
      <w:r>
        <w:rPr>
          <w:rFonts w:hint="default" w:ascii="Times New Roman" w:hAnsi="Times New Roman" w:cs="Times New Roman"/>
          <w:color w:val="auto"/>
          <w:highlight w:val="none"/>
        </w:rPr>
        <w:t>。投标文件每页均须法定代表人或其授权委托人签字并加盖单位公章。</w:t>
      </w:r>
    </w:p>
    <w:p>
      <w:pPr>
        <w:keepNext w:val="0"/>
        <w:keepLines w:val="0"/>
        <w:pageBreakBefore w:val="0"/>
        <w:shd w:val="clear" w:color="auto" w:fill="auto"/>
        <w:kinsoku/>
        <w:wordWrap/>
        <w:overflowPunct/>
        <w:topLinePunct w:val="0"/>
        <w:autoSpaceDE/>
        <w:autoSpaceDN/>
        <w:bidi w:val="0"/>
        <w:adjustRightInd/>
        <w:snapToGrid w:val="0"/>
        <w:spacing w:line="293" w:lineRule="auto"/>
        <w:ind w:firstLine="482"/>
        <w:textAlignment w:val="auto"/>
        <w:rPr>
          <w:rFonts w:ascii="宋体" w:hAnsi="宋体"/>
          <w:b/>
          <w:bCs/>
          <w:color w:val="auto"/>
          <w:szCs w:val="24"/>
          <w:highlight w:val="none"/>
        </w:rPr>
      </w:pPr>
      <w:r>
        <w:rPr>
          <w:rFonts w:ascii="宋体" w:hAnsi="宋体"/>
          <w:b/>
          <w:bCs/>
          <w:color w:val="auto"/>
          <w:szCs w:val="24"/>
          <w:highlight w:val="none"/>
        </w:rPr>
        <w:t>3、</w:t>
      </w:r>
      <w:r>
        <w:rPr>
          <w:rFonts w:hint="eastAsia" w:ascii="宋体" w:hAnsi="宋体"/>
          <w:b/>
          <w:bCs/>
          <w:color w:val="auto"/>
          <w:szCs w:val="24"/>
          <w:highlight w:val="none"/>
        </w:rPr>
        <w:t>开标时间</w:t>
      </w:r>
      <w:r>
        <w:rPr>
          <w:rFonts w:ascii="宋体" w:hAnsi="宋体"/>
          <w:b/>
          <w:bCs/>
          <w:color w:val="auto"/>
          <w:szCs w:val="24"/>
          <w:highlight w:val="none"/>
        </w:rPr>
        <w:t>、地点</w:t>
      </w:r>
    </w:p>
    <w:p>
      <w:pPr>
        <w:keepNext w:val="0"/>
        <w:keepLines w:val="0"/>
        <w:pageBreakBefore w:val="0"/>
        <w:widowControl w:val="0"/>
        <w:kinsoku/>
        <w:wordWrap/>
        <w:overflowPunct/>
        <w:topLinePunct w:val="0"/>
        <w:autoSpaceDE/>
        <w:autoSpaceDN/>
        <w:bidi w:val="0"/>
        <w:adjustRightInd/>
        <w:snapToGrid w:val="0"/>
        <w:spacing w:line="293" w:lineRule="auto"/>
        <w:ind w:firstLine="482"/>
        <w:textAlignment w:val="auto"/>
        <w:outlineLvl w:val="0"/>
        <w:rPr>
          <w:rFonts w:hint="eastAsia" w:ascii="宋体" w:hAnsi="宋体"/>
          <w:color w:val="auto"/>
          <w:szCs w:val="24"/>
          <w:highlight w:val="none"/>
        </w:rPr>
      </w:pPr>
      <w:bookmarkStart w:id="4" w:name="_Toc32413"/>
      <w:r>
        <w:rPr>
          <w:rFonts w:hint="eastAsia" w:ascii="宋体" w:hAnsi="宋体"/>
          <w:color w:val="auto"/>
          <w:szCs w:val="24"/>
          <w:highlight w:val="none"/>
        </w:rPr>
        <w:t>招标人于</w:t>
      </w:r>
      <w:r>
        <w:rPr>
          <w:rFonts w:hint="eastAsia" w:ascii="宋体" w:hAnsi="宋体"/>
          <w:color w:val="auto"/>
          <w:szCs w:val="24"/>
          <w:highlight w:val="none"/>
        </w:rPr>
        <w:t>2024年5月</w:t>
      </w:r>
      <w:r>
        <w:rPr>
          <w:rFonts w:hint="eastAsia" w:ascii="宋体" w:hAnsi="宋体"/>
          <w:color w:val="auto"/>
          <w:szCs w:val="24"/>
          <w:highlight w:val="none"/>
          <w:lang w:val="en-US" w:eastAsia="zh-CN"/>
        </w:rPr>
        <w:t>24日</w:t>
      </w:r>
      <w:r>
        <w:rPr>
          <w:rFonts w:hint="eastAsia" w:ascii="宋体" w:hAnsi="宋体"/>
          <w:color w:val="auto"/>
          <w:szCs w:val="24"/>
          <w:highlight w:val="none"/>
        </w:rPr>
        <w:t>下午14:</w:t>
      </w:r>
      <w:r>
        <w:rPr>
          <w:rFonts w:hint="eastAsia" w:ascii="宋体" w:hAnsi="宋体"/>
          <w:color w:val="auto"/>
          <w:szCs w:val="24"/>
          <w:highlight w:val="none"/>
          <w:lang w:val="en-US" w:eastAsia="zh-CN"/>
        </w:rPr>
        <w:t>3</w:t>
      </w:r>
      <w:r>
        <w:rPr>
          <w:rFonts w:hint="eastAsia" w:ascii="宋体" w:hAnsi="宋体"/>
          <w:color w:val="auto"/>
          <w:szCs w:val="24"/>
          <w:highlight w:val="none"/>
        </w:rPr>
        <w:t>0</w:t>
      </w:r>
      <w:r>
        <w:rPr>
          <w:rFonts w:hint="eastAsia" w:ascii="宋体" w:hAnsi="宋体"/>
          <w:color w:val="auto"/>
          <w:szCs w:val="24"/>
          <w:highlight w:val="none"/>
        </w:rPr>
        <w:t>在江苏省水利建设工程有限公司公司五楼会议室（扬州市长征西路14号）现场开标，届时与投标人联系投标文件压缩包密码。</w:t>
      </w:r>
    </w:p>
    <w:p>
      <w:pPr>
        <w:keepNext w:val="0"/>
        <w:keepLines w:val="0"/>
        <w:pageBreakBefore w:val="0"/>
        <w:widowControl w:val="0"/>
        <w:kinsoku/>
        <w:wordWrap/>
        <w:overflowPunct/>
        <w:topLinePunct w:val="0"/>
        <w:autoSpaceDE/>
        <w:autoSpaceDN/>
        <w:bidi w:val="0"/>
        <w:adjustRightInd/>
        <w:snapToGrid w:val="0"/>
        <w:spacing w:line="293" w:lineRule="auto"/>
        <w:ind w:firstLine="482"/>
        <w:textAlignment w:val="auto"/>
        <w:outlineLvl w:val="0"/>
        <w:rPr>
          <w:rFonts w:ascii="宋体" w:hAnsi="宋体" w:eastAsia="宋体" w:cs="宋体"/>
          <w:b/>
          <w:color w:val="auto"/>
          <w:highlight w:val="none"/>
        </w:rPr>
      </w:pPr>
      <w:r>
        <w:rPr>
          <w:rFonts w:hint="eastAsia" w:ascii="宋体" w:hAnsi="宋体" w:cs="宋体"/>
          <w:b/>
          <w:color w:val="auto"/>
          <w:highlight w:val="none"/>
          <w:lang w:val="en-US" w:eastAsia="zh-CN"/>
        </w:rPr>
        <w:t>五</w:t>
      </w:r>
      <w:r>
        <w:rPr>
          <w:rFonts w:hint="eastAsia" w:ascii="宋体" w:hAnsi="宋体" w:eastAsia="宋体" w:cs="宋体"/>
          <w:b/>
          <w:color w:val="auto"/>
          <w:highlight w:val="none"/>
        </w:rPr>
        <w:t>、评标标准</w:t>
      </w:r>
      <w:bookmarkEnd w:id="4"/>
    </w:p>
    <w:p>
      <w:pPr>
        <w:keepNext w:val="0"/>
        <w:keepLines w:val="0"/>
        <w:pageBreakBefore w:val="0"/>
        <w:widowControl w:val="0"/>
        <w:kinsoku/>
        <w:wordWrap/>
        <w:overflowPunct/>
        <w:topLinePunct w:val="0"/>
        <w:autoSpaceDE/>
        <w:autoSpaceDN/>
        <w:bidi w:val="0"/>
        <w:adjustRightInd/>
        <w:spacing w:line="293" w:lineRule="auto"/>
        <w:ind w:firstLine="480"/>
        <w:textAlignment w:val="auto"/>
        <w:rPr>
          <w:rFonts w:ascii="宋体" w:hAnsi="宋体" w:eastAsia="宋体" w:cs="-webkit-standard"/>
          <w:color w:val="auto"/>
          <w:highlight w:val="none"/>
        </w:rPr>
      </w:pPr>
      <w:r>
        <w:rPr>
          <w:rFonts w:hint="eastAsia" w:ascii="宋体" w:hAnsi="宋体" w:eastAsia="宋体" w:cs="宋体"/>
          <w:color w:val="auto"/>
          <w:highlight w:val="none"/>
        </w:rPr>
        <w:t>本次招标评标标准在同等条件下以单位价格低者优先。</w:t>
      </w:r>
    </w:p>
    <w:p>
      <w:pPr>
        <w:keepNext w:val="0"/>
        <w:keepLines w:val="0"/>
        <w:pageBreakBefore w:val="0"/>
        <w:widowControl/>
        <w:kinsoku/>
        <w:wordWrap/>
        <w:overflowPunct/>
        <w:topLinePunct w:val="0"/>
        <w:autoSpaceDE/>
        <w:autoSpaceDN/>
        <w:bidi w:val="0"/>
        <w:adjustRightInd/>
        <w:snapToGrid w:val="0"/>
        <w:spacing w:line="293" w:lineRule="auto"/>
        <w:ind w:firstLine="482"/>
        <w:textAlignment w:val="auto"/>
        <w:outlineLvl w:val="0"/>
        <w:rPr>
          <w:rFonts w:ascii="宋体" w:hAnsi="宋体" w:eastAsia="宋体" w:cs="宋体"/>
          <w:b/>
          <w:color w:val="auto"/>
          <w:highlight w:val="none"/>
        </w:rPr>
      </w:pPr>
      <w:r>
        <w:rPr>
          <w:rFonts w:hint="eastAsia" w:ascii="宋体" w:hAnsi="宋体" w:cs="宋体"/>
          <w:b/>
          <w:color w:val="auto"/>
          <w:highlight w:val="none"/>
          <w:lang w:val="en-US" w:eastAsia="zh-CN"/>
        </w:rPr>
        <w:t>六</w:t>
      </w:r>
      <w:r>
        <w:rPr>
          <w:rFonts w:hint="eastAsia" w:ascii="宋体" w:hAnsi="宋体" w:eastAsia="宋体" w:cs="宋体"/>
          <w:b/>
          <w:color w:val="auto"/>
          <w:highlight w:val="none"/>
        </w:rPr>
        <w:t>、招标附件</w:t>
      </w:r>
    </w:p>
    <w:p>
      <w:pPr>
        <w:keepNext w:val="0"/>
        <w:keepLines w:val="0"/>
        <w:pageBreakBefore w:val="0"/>
        <w:widowControl/>
        <w:kinsoku/>
        <w:wordWrap/>
        <w:overflowPunct/>
        <w:topLinePunct w:val="0"/>
        <w:autoSpaceDE/>
        <w:autoSpaceDN/>
        <w:bidi w:val="0"/>
        <w:adjustRightInd/>
        <w:spacing w:line="293" w:lineRule="auto"/>
        <w:ind w:firstLine="480"/>
        <w:textAlignment w:val="auto"/>
        <w:rPr>
          <w:rFonts w:hint="eastAsia" w:ascii="宋体" w:hAnsi="宋体" w:eastAsia="宋体" w:cs="-webkit-standard"/>
          <w:color w:val="auto"/>
          <w:highlight w:val="none"/>
          <w:lang w:eastAsia="zh-CN"/>
        </w:rPr>
      </w:pPr>
      <w:r>
        <w:rPr>
          <w:rFonts w:hint="eastAsia" w:ascii="宋体" w:hAnsi="宋体" w:eastAsia="宋体" w:cs="宋体"/>
          <w:color w:val="auto"/>
          <w:highlight w:val="none"/>
        </w:rPr>
        <w:t>1、钢材采购投标报价表</w:t>
      </w:r>
      <w:r>
        <w:rPr>
          <w:rFonts w:hint="eastAsia" w:ascii="宋体" w:hAnsi="宋体" w:cs="宋体"/>
          <w:color w:val="auto"/>
          <w:highlight w:val="none"/>
          <w:lang w:eastAsia="zh-CN"/>
        </w:rPr>
        <w:t>。</w:t>
      </w:r>
    </w:p>
    <w:p>
      <w:pPr>
        <w:keepNext w:val="0"/>
        <w:keepLines w:val="0"/>
        <w:pageBreakBefore w:val="0"/>
        <w:widowControl/>
        <w:kinsoku/>
        <w:wordWrap/>
        <w:overflowPunct/>
        <w:topLinePunct w:val="0"/>
        <w:autoSpaceDE/>
        <w:autoSpaceDN/>
        <w:bidi w:val="0"/>
        <w:adjustRightInd/>
        <w:spacing w:line="293" w:lineRule="auto"/>
        <w:ind w:firstLine="480"/>
        <w:textAlignment w:val="auto"/>
        <w:rPr>
          <w:rFonts w:hint="eastAsia" w:ascii="宋体" w:hAnsi="宋体" w:cs="宋体"/>
          <w:color w:val="auto"/>
          <w:highlight w:val="none"/>
          <w:lang w:val="en-US" w:eastAsia="zh-CN"/>
        </w:rPr>
      </w:pPr>
      <w:r>
        <w:rPr>
          <w:rFonts w:hint="eastAsia" w:ascii="宋体" w:hAnsi="宋体" w:eastAsia="宋体" w:cs="宋体"/>
          <w:color w:val="auto"/>
          <w:highlight w:val="none"/>
        </w:rPr>
        <w:t>2、</w:t>
      </w:r>
      <w:r>
        <w:rPr>
          <w:rFonts w:hint="eastAsia" w:ascii="宋体" w:hAnsi="宋体" w:cs="宋体"/>
          <w:color w:val="auto"/>
          <w:highlight w:val="none"/>
          <w:lang w:val="en-US" w:eastAsia="zh-CN"/>
        </w:rPr>
        <w:t>钢材采购合同</w:t>
      </w:r>
      <w:r>
        <w:rPr>
          <w:rFonts w:hint="eastAsia" w:ascii="宋体" w:hAnsi="宋体" w:eastAsia="宋体" w:cs="宋体"/>
          <w:color w:val="auto"/>
          <w:highlight w:val="none"/>
        </w:rPr>
        <w:t>格式</w:t>
      </w:r>
      <w:r>
        <w:rPr>
          <w:rFonts w:hint="eastAsia" w:ascii="宋体" w:hAnsi="宋体" w:cs="宋体"/>
          <w:color w:val="auto"/>
          <w:highlight w:val="none"/>
          <w:lang w:val="en-US" w:eastAsia="zh-CN"/>
        </w:rPr>
        <w:t>文本。</w:t>
      </w:r>
    </w:p>
    <w:p>
      <w:pPr>
        <w:keepNext w:val="0"/>
        <w:keepLines w:val="0"/>
        <w:pageBreakBefore w:val="0"/>
        <w:widowControl/>
        <w:kinsoku/>
        <w:wordWrap/>
        <w:overflowPunct/>
        <w:topLinePunct w:val="0"/>
        <w:autoSpaceDE/>
        <w:autoSpaceDN/>
        <w:bidi w:val="0"/>
        <w:adjustRightInd/>
        <w:spacing w:line="293" w:lineRule="auto"/>
        <w:ind w:firstLine="480"/>
        <w:textAlignment w:val="auto"/>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招标人联系人：朱  丽（联系电话：</w:t>
      </w:r>
      <w:r>
        <w:rPr>
          <w:rFonts w:hint="eastAsia" w:ascii="宋体" w:hAnsi="宋体" w:cs="宋体"/>
          <w:bCs/>
          <w:color w:val="auto"/>
          <w:kern w:val="44"/>
          <w:highlight w:val="none"/>
          <w:lang w:val="en-US" w:eastAsia="zh-CN"/>
        </w:rPr>
        <w:t>0514-87361764</w:t>
      </w:r>
      <w:r>
        <w:rPr>
          <w:rFonts w:hint="eastAsia" w:ascii="Times New Roman" w:hAnsi="Times New Roman"/>
          <w:color w:val="auto"/>
          <w:szCs w:val="21"/>
          <w:highlight w:val="none"/>
          <w:lang w:val="en-US" w:eastAsia="zh-CN"/>
        </w:rPr>
        <w:t>）（长征西路14号）</w:t>
      </w:r>
    </w:p>
    <w:p>
      <w:pPr>
        <w:keepNext w:val="0"/>
        <w:keepLines w:val="0"/>
        <w:pageBreakBefore w:val="0"/>
        <w:widowControl/>
        <w:kinsoku/>
        <w:wordWrap/>
        <w:overflowPunct/>
        <w:topLinePunct w:val="0"/>
        <w:autoSpaceDE/>
        <w:autoSpaceDN/>
        <w:bidi w:val="0"/>
        <w:adjustRightInd/>
        <w:spacing w:line="293" w:lineRule="auto"/>
        <w:ind w:firstLine="480"/>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项目部联系人：王天荣（北船闸）（联系电话：13218826710）、朱耿强（南船闸）（联系电话：15861376113）、闵瑞（桥梁）（联系电话：13222186866）</w:t>
      </w:r>
    </w:p>
    <w:p>
      <w:pPr>
        <w:keepNext w:val="0"/>
        <w:keepLines w:val="0"/>
        <w:pageBreakBefore w:val="0"/>
        <w:kinsoku/>
        <w:wordWrap/>
        <w:overflowPunct/>
        <w:topLinePunct w:val="0"/>
        <w:autoSpaceDE/>
        <w:autoSpaceDN/>
        <w:bidi w:val="0"/>
        <w:adjustRightInd/>
        <w:spacing w:line="293" w:lineRule="auto"/>
        <w:textAlignment w:val="auto"/>
        <w:rPr>
          <w:rFonts w:hint="default"/>
          <w:color w:val="auto"/>
          <w:highlight w:val="none"/>
          <w:lang w:val="en-US" w:eastAsia="zh-CN"/>
        </w:rPr>
      </w:pPr>
    </w:p>
    <w:p>
      <w:pPr>
        <w:keepNext w:val="0"/>
        <w:keepLines w:val="0"/>
        <w:pageBreakBefore w:val="0"/>
        <w:kinsoku/>
        <w:wordWrap/>
        <w:overflowPunct/>
        <w:topLinePunct w:val="0"/>
        <w:autoSpaceDE/>
        <w:autoSpaceDN/>
        <w:bidi w:val="0"/>
        <w:adjustRightInd/>
        <w:spacing w:line="293" w:lineRule="auto"/>
        <w:ind w:firstLine="480"/>
        <w:jc w:val="center"/>
        <w:textAlignment w:val="auto"/>
        <w:rPr>
          <w:b w:val="0"/>
          <w:bCs w:val="0"/>
          <w:color w:val="auto"/>
          <w:highlight w:val="none"/>
        </w:rPr>
      </w:pPr>
    </w:p>
    <w:p>
      <w:pPr>
        <w:keepNext w:val="0"/>
        <w:keepLines w:val="0"/>
        <w:pageBreakBefore w:val="0"/>
        <w:kinsoku/>
        <w:wordWrap/>
        <w:overflowPunct/>
        <w:topLinePunct w:val="0"/>
        <w:autoSpaceDE/>
        <w:autoSpaceDN/>
        <w:bidi w:val="0"/>
        <w:adjustRightInd/>
        <w:spacing w:line="440" w:lineRule="exact"/>
        <w:ind w:firstLine="198" w:firstLineChars="55"/>
        <w:jc w:val="center"/>
        <w:textAlignment w:val="auto"/>
        <w:rPr>
          <w:rFonts w:ascii="宋体" w:hAnsi="宋体" w:eastAsia="宋体"/>
          <w:b/>
          <w:bCs/>
          <w:color w:val="auto"/>
          <w:sz w:val="36"/>
          <w:szCs w:val="36"/>
          <w:highlight w:val="none"/>
        </w:rPr>
      </w:pPr>
      <w:r>
        <w:rPr>
          <w:rFonts w:hint="eastAsia" w:ascii="宋体" w:hAnsi="宋体" w:eastAsia="宋体"/>
          <w:b/>
          <w:bCs/>
          <w:color w:val="auto"/>
          <w:sz w:val="36"/>
          <w:szCs w:val="36"/>
          <w:highlight w:val="none"/>
        </w:rPr>
        <w:br w:type="page"/>
      </w:r>
      <w:r>
        <w:rPr>
          <w:rFonts w:hint="eastAsia" w:ascii="宋体" w:hAnsi="宋体" w:eastAsia="宋体"/>
          <w:b/>
          <w:bCs/>
          <w:color w:val="auto"/>
          <w:sz w:val="36"/>
          <w:szCs w:val="36"/>
          <w:highlight w:val="none"/>
        </w:rPr>
        <w:t>钢材采购</w:t>
      </w:r>
      <w:r>
        <w:rPr>
          <w:rFonts w:hint="eastAsia" w:ascii="宋体" w:hAnsi="宋体"/>
          <w:b/>
          <w:bCs/>
          <w:color w:val="auto"/>
          <w:sz w:val="36"/>
          <w:szCs w:val="36"/>
          <w:highlight w:val="none"/>
          <w:lang w:val="en-US" w:eastAsia="zh-CN"/>
        </w:rPr>
        <w:t>投标</w:t>
      </w:r>
      <w:r>
        <w:rPr>
          <w:rFonts w:hint="eastAsia" w:ascii="宋体" w:hAnsi="宋体" w:eastAsia="宋体"/>
          <w:b/>
          <w:bCs/>
          <w:color w:val="auto"/>
          <w:sz w:val="36"/>
          <w:szCs w:val="36"/>
          <w:highlight w:val="none"/>
        </w:rPr>
        <w:t>报价表</w:t>
      </w:r>
    </w:p>
    <w:p>
      <w:pPr>
        <w:ind w:firstLine="170" w:firstLineChars="71"/>
        <w:rPr>
          <w:rFonts w:hint="eastAsia" w:ascii="宋体" w:hAnsi="宋体" w:eastAsia="宋体"/>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420" w:lineRule="exact"/>
        <w:ind w:left="0" w:leftChars="0" w:firstLine="0" w:firstLineChars="0"/>
        <w:textAlignment w:val="auto"/>
        <w:rPr>
          <w:rFonts w:ascii="宋体" w:hAnsi="宋体" w:eastAsia="宋体"/>
          <w:color w:val="auto"/>
          <w:sz w:val="24"/>
          <w:szCs w:val="24"/>
          <w:highlight w:val="none"/>
        </w:rPr>
      </w:pPr>
      <w:r>
        <w:rPr>
          <w:rFonts w:hint="eastAsia" w:ascii="宋体" w:hAnsi="宋体" w:eastAsia="宋体"/>
          <w:color w:val="auto"/>
          <w:sz w:val="24"/>
          <w:szCs w:val="24"/>
          <w:highlight w:val="none"/>
        </w:rPr>
        <w:t>江苏省水利建设工程有限公司：</w:t>
      </w:r>
    </w:p>
    <w:p>
      <w:pPr>
        <w:keepNext w:val="0"/>
        <w:keepLines w:val="0"/>
        <w:pageBreakBefore w:val="0"/>
        <w:widowControl/>
        <w:kinsoku/>
        <w:wordWrap/>
        <w:overflowPunct/>
        <w:topLinePunct w:val="0"/>
        <w:autoSpaceDE/>
        <w:autoSpaceDN/>
        <w:bidi w:val="0"/>
        <w:adjustRightInd/>
        <w:snapToGrid/>
        <w:spacing w:line="420" w:lineRule="exact"/>
        <w:ind w:left="14" w:leftChars="6" w:firstLine="523" w:firstLineChars="218"/>
        <w:textAlignment w:val="auto"/>
        <w:rPr>
          <w:rFonts w:hint="eastAsia" w:ascii="宋体" w:hAnsi="宋体" w:eastAsia="宋体"/>
          <w:color w:val="auto"/>
          <w:highlight w:val="none"/>
        </w:rPr>
      </w:pPr>
      <w:r>
        <w:rPr>
          <w:rFonts w:hint="eastAsia" w:ascii="宋体" w:hAnsi="宋体" w:eastAsia="宋体"/>
          <w:color w:val="auto"/>
          <w:highlight w:val="none"/>
        </w:rPr>
        <w:t>我单位拟向贵公司供应</w:t>
      </w:r>
      <w:r>
        <w:rPr>
          <w:rFonts w:hint="eastAsia" w:ascii="宋体" w:hAnsi="宋体" w:eastAsia="宋体" w:cs="宋体-18030"/>
          <w:b/>
          <w:bCs/>
          <w:color w:val="auto"/>
          <w:szCs w:val="24"/>
          <w:highlight w:val="none"/>
          <w:u w:val="single"/>
        </w:rPr>
        <w:t>淮河入海水道二期滨海枢纽工程土建施工及设备安装</w:t>
      </w:r>
      <w:r>
        <w:rPr>
          <w:rFonts w:hint="eastAsia" w:ascii="宋体" w:hAnsi="宋体" w:eastAsia="宋体"/>
          <w:color w:val="auto"/>
          <w:szCs w:val="24"/>
          <w:highlight w:val="none"/>
        </w:rPr>
        <w:t>所用的</w:t>
      </w:r>
      <w:r>
        <w:rPr>
          <w:rFonts w:hint="eastAsia" w:ascii="宋体" w:hAnsi="宋体" w:eastAsia="宋体"/>
          <w:color w:val="auto"/>
          <w:highlight w:val="none"/>
        </w:rPr>
        <w:t>钢材，</w:t>
      </w:r>
      <w:r>
        <w:rPr>
          <w:rFonts w:hint="eastAsia" w:ascii="宋体" w:hAnsi="宋体"/>
          <w:color w:val="auto"/>
          <w:highlight w:val="none"/>
          <w:lang w:val="en-US" w:eastAsia="zh-CN"/>
        </w:rPr>
        <w:t>我公司所供钢筋的品牌为：</w:t>
      </w:r>
      <w:r>
        <w:rPr>
          <w:rFonts w:hint="eastAsia" w:ascii="宋体" w:hAnsi="宋体"/>
          <w:color w:val="auto"/>
          <w:highlight w:val="none"/>
          <w:u w:val="single"/>
          <w:lang w:val="en-US" w:eastAsia="zh-CN"/>
        </w:rPr>
        <w:t xml:space="preserve">        </w:t>
      </w:r>
      <w:r>
        <w:rPr>
          <w:rFonts w:hint="eastAsia" w:ascii="宋体" w:hAnsi="宋体"/>
          <w:color w:val="auto"/>
          <w:highlight w:val="none"/>
          <w:lang w:eastAsia="zh-CN"/>
        </w:rPr>
        <w:t>（</w:t>
      </w:r>
      <w:r>
        <w:rPr>
          <w:rFonts w:hint="eastAsia" w:ascii="宋体" w:hAnsi="宋体" w:eastAsia="宋体"/>
          <w:b/>
          <w:bCs/>
          <w:color w:val="auto"/>
          <w:kern w:val="2"/>
          <w:szCs w:val="24"/>
          <w:highlight w:val="none"/>
        </w:rPr>
        <w:t>沙钢、永钢、中天</w:t>
      </w:r>
      <w:r>
        <w:rPr>
          <w:rFonts w:hint="eastAsia" w:ascii="宋体" w:hAnsi="宋体"/>
          <w:b/>
          <w:bCs/>
          <w:color w:val="auto"/>
          <w:kern w:val="2"/>
          <w:szCs w:val="24"/>
          <w:highlight w:val="none"/>
          <w:lang w:val="en-US" w:eastAsia="zh-CN"/>
        </w:rPr>
        <w:t>、</w:t>
      </w:r>
      <w:r>
        <w:rPr>
          <w:rFonts w:hint="eastAsia" w:ascii="宋体" w:hAnsi="宋体" w:eastAsia="宋体"/>
          <w:b/>
          <w:bCs/>
          <w:color w:val="auto"/>
          <w:kern w:val="2"/>
          <w:szCs w:val="24"/>
          <w:highlight w:val="none"/>
        </w:rPr>
        <w:t>马钢</w:t>
      </w:r>
      <w:r>
        <w:rPr>
          <w:rFonts w:hint="eastAsia" w:ascii="宋体" w:hAnsi="宋体"/>
          <w:b/>
          <w:bCs/>
          <w:color w:val="auto"/>
          <w:kern w:val="2"/>
          <w:szCs w:val="24"/>
          <w:highlight w:val="none"/>
          <w:lang w:val="en-US" w:eastAsia="zh-CN"/>
        </w:rPr>
        <w:t>或</w:t>
      </w:r>
      <w:r>
        <w:rPr>
          <w:rFonts w:hint="eastAsia" w:ascii="宋体" w:hAnsi="宋体" w:eastAsia="宋体" w:cs="Times New Roman"/>
          <w:b/>
          <w:bCs/>
          <w:color w:val="auto"/>
          <w:kern w:val="2"/>
          <w:szCs w:val="24"/>
          <w:highlight w:val="none"/>
          <w:lang w:val="en-US" w:eastAsia="zh-CN"/>
        </w:rPr>
        <w:t>武钢</w:t>
      </w:r>
      <w:r>
        <w:rPr>
          <w:rFonts w:hint="eastAsia" w:ascii="宋体" w:hAnsi="宋体"/>
          <w:color w:val="auto"/>
          <w:kern w:val="2"/>
          <w:szCs w:val="24"/>
          <w:highlight w:val="none"/>
        </w:rPr>
        <w:t>）</w:t>
      </w:r>
      <w:r>
        <w:rPr>
          <w:rFonts w:hint="eastAsia" w:ascii="宋体" w:hAnsi="宋体" w:eastAsia="宋体"/>
          <w:color w:val="auto"/>
          <w:highlight w:val="none"/>
        </w:rPr>
        <w:t>，具体规格和价格如下：</w:t>
      </w:r>
    </w:p>
    <w:tbl>
      <w:tblPr>
        <w:tblStyle w:val="12"/>
        <w:tblW w:w="95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3" w:type="dxa"/>
          <w:bottom w:w="0" w:type="dxa"/>
          <w:right w:w="23" w:type="dxa"/>
        </w:tblCellMar>
      </w:tblPr>
      <w:tblGrid>
        <w:gridCol w:w="1773"/>
        <w:gridCol w:w="2111"/>
        <w:gridCol w:w="669"/>
        <w:gridCol w:w="1011"/>
        <w:gridCol w:w="891"/>
        <w:gridCol w:w="1130"/>
        <w:gridCol w:w="19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595"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品名</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暂定</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数量</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基准价</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品牌</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基准价</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（元/吨）</w:t>
            </w:r>
          </w:p>
        </w:tc>
        <w:tc>
          <w:tcPr>
            <w:tcW w:w="19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Style w:val="29"/>
                <w:color w:val="auto"/>
                <w:sz w:val="24"/>
                <w:szCs w:val="24"/>
                <w:highlight w:val="none"/>
                <w:lang w:val="en-US" w:eastAsia="zh-CN" w:bidi="ar"/>
              </w:rPr>
            </w:pPr>
            <w:r>
              <w:rPr>
                <w:rStyle w:val="29"/>
                <w:color w:val="auto"/>
                <w:sz w:val="24"/>
                <w:szCs w:val="24"/>
                <w:highlight w:val="none"/>
                <w:lang w:val="en-US" w:eastAsia="zh-CN" w:bidi="ar"/>
              </w:rPr>
              <w:t>上下（±）浮动</w:t>
            </w:r>
          </w:p>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金额（元/吨）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热轧光圆钢筋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HPB300直径8mm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135.3</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3890</w:t>
            </w:r>
          </w:p>
        </w:tc>
        <w:tc>
          <w:tcPr>
            <w:tcW w:w="1974" w:type="dxa"/>
            <w:vMerge w:val="restart"/>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热轧光圆钢筋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HPB300直径10mm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174</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3890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热轧光圆钢筋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w:t>
            </w:r>
            <w:r>
              <w:rPr>
                <w:rFonts w:hint="eastAsia" w:ascii="宋体" w:hAnsi="宋体" w:cs="宋体"/>
                <w:i w:val="0"/>
                <w:iCs w:val="0"/>
                <w:color w:val="auto"/>
                <w:kern w:val="0"/>
                <w:sz w:val="24"/>
                <w:szCs w:val="24"/>
                <w:highlight w:val="none"/>
                <w:u w:val="none"/>
                <w:lang w:val="en-US" w:eastAsia="zh-CN" w:bidi="ar"/>
              </w:rPr>
              <w:t>PB3</w:t>
            </w:r>
            <w:r>
              <w:rPr>
                <w:rFonts w:hint="eastAsia" w:ascii="宋体" w:hAnsi="宋体" w:eastAsia="宋体" w:cs="宋体"/>
                <w:i w:val="0"/>
                <w:iCs w:val="0"/>
                <w:color w:val="auto"/>
                <w:kern w:val="0"/>
                <w:sz w:val="24"/>
                <w:szCs w:val="24"/>
                <w:highlight w:val="none"/>
                <w:u w:val="none"/>
                <w:lang w:val="en-US" w:eastAsia="zh-CN" w:bidi="ar"/>
              </w:rPr>
              <w:t>00直径</w:t>
            </w:r>
            <w:r>
              <w:rPr>
                <w:rFonts w:hint="eastAsia" w:ascii="宋体" w:hAnsi="宋体" w:cs="宋体"/>
                <w:i w:val="0"/>
                <w:iCs w:val="0"/>
                <w:color w:val="auto"/>
                <w:kern w:val="0"/>
                <w:sz w:val="24"/>
                <w:szCs w:val="24"/>
                <w:highlight w:val="none"/>
                <w:u w:val="none"/>
                <w:lang w:val="en-US" w:eastAsia="zh-CN" w:bidi="ar"/>
              </w:rPr>
              <w:t>16</w:t>
            </w:r>
            <w:r>
              <w:rPr>
                <w:rFonts w:hint="eastAsia" w:ascii="宋体" w:hAnsi="宋体" w:eastAsia="宋体" w:cs="宋体"/>
                <w:i w:val="0"/>
                <w:iCs w:val="0"/>
                <w:color w:val="auto"/>
                <w:kern w:val="0"/>
                <w:sz w:val="24"/>
                <w:szCs w:val="24"/>
                <w:highlight w:val="none"/>
                <w:u w:val="none"/>
                <w:lang w:val="en-US" w:eastAsia="zh-CN" w:bidi="ar"/>
              </w:rPr>
              <w:t>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25.4</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永钢</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3960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HRB400直径8mm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22.8</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3900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HRB400直径10mm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79.3</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3790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HRB400直径12mm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89.7</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HRB400直径14mm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200.0</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HRB400直径16mm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656.3</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3600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86"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HRB400直径18mm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856.8</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3600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HRB400直径20mm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1519</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3600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HRB400直径22mm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2573.9</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3630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HRB400直径25mm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2658.6</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3660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HRB400直径28mm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1899.7</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Style w:val="29"/>
                <w:color w:val="auto"/>
                <w:sz w:val="24"/>
                <w:szCs w:val="24"/>
                <w:highlight w:val="none"/>
                <w:lang w:val="en-US" w:eastAsia="zh-CN" w:bidi="ar"/>
              </w:rPr>
              <w:t>热轧带肋钢筋</w:t>
            </w: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HRB400直径32mm</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398.8</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中天</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eastAsia" w:ascii="Times New Roman" w:hAnsi="Times New Roman" w:eastAsia="宋体" w:cs="Times New Roman"/>
                <w:i w:val="0"/>
                <w:iCs w:val="0"/>
                <w:color w:val="auto"/>
                <w:kern w:val="0"/>
                <w:sz w:val="24"/>
                <w:szCs w:val="24"/>
                <w:highlight w:val="none"/>
                <w:u w:val="none"/>
                <w:lang w:val="en-US" w:eastAsia="zh-CN" w:bidi="ar"/>
              </w:rPr>
              <w:t>3690</w:t>
            </w:r>
          </w:p>
        </w:tc>
        <w:tc>
          <w:tcPr>
            <w:tcW w:w="1974" w:type="dxa"/>
            <w:vMerge w:val="continue"/>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440" w:hRule="atLeast"/>
        </w:trPr>
        <w:tc>
          <w:tcPr>
            <w:tcW w:w="1773" w:type="dxa"/>
            <w:tcBorders>
              <w:top w:val="single" w:color="000000" w:sz="4" w:space="0"/>
              <w:left w:val="single" w:color="000000" w:sz="4" w:space="0"/>
              <w:bottom w:val="single" w:color="000000" w:sz="4" w:space="0"/>
              <w:right w:val="single" w:color="000000" w:sz="4" w:space="0"/>
            </w:tcBorders>
            <w:noWrap w:val="0"/>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c>
          <w:tcPr>
            <w:tcW w:w="2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总计</w:t>
            </w:r>
          </w:p>
        </w:tc>
        <w:tc>
          <w:tcPr>
            <w:tcW w:w="6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吨</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Times New Roman" w:hAnsi="Times New Roman" w:eastAsia="宋体" w:cs="Times New Roman"/>
                <w:i w:val="0"/>
                <w:iCs w:val="0"/>
                <w:color w:val="auto"/>
                <w:kern w:val="0"/>
                <w:sz w:val="24"/>
                <w:szCs w:val="24"/>
                <w:highlight w:val="none"/>
                <w:u w:val="none"/>
                <w:lang w:val="en-US" w:eastAsia="zh-CN" w:bidi="ar"/>
              </w:rPr>
              <w:t>11289.6</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ind w:left="0" w:leftChars="0" w:firstLine="0" w:firstLineChars="0"/>
              <w:jc w:val="center"/>
              <w:rPr>
                <w:rFonts w:hint="eastAsia" w:ascii="宋体" w:hAnsi="宋体" w:eastAsia="宋体" w:cs="宋体"/>
                <w:i w:val="0"/>
                <w:iCs w:val="0"/>
                <w:color w:val="auto"/>
                <w:sz w:val="24"/>
                <w:szCs w:val="24"/>
                <w:highlight w:val="none"/>
                <w:u w:val="none"/>
              </w:rPr>
            </w:pPr>
          </w:p>
        </w:tc>
        <w:tc>
          <w:tcPr>
            <w:tcW w:w="1974" w:type="dxa"/>
            <w:tcBorders>
              <w:top w:val="single" w:color="000000" w:sz="4" w:space="0"/>
              <w:left w:val="single" w:color="000000" w:sz="4" w:space="0"/>
              <w:bottom w:val="single" w:color="000000" w:sz="4" w:space="0"/>
              <w:right w:val="single" w:color="000000" w:sz="4" w:space="0"/>
            </w:tcBorders>
            <w:noWrap/>
            <w:vAlign w:val="center"/>
          </w:tcPr>
          <w:p>
            <w:pPr>
              <w:ind w:left="0" w:leftChars="0" w:firstLine="0" w:firstLineChars="0"/>
              <w:rPr>
                <w:rFonts w:hint="eastAsia" w:ascii="宋体" w:hAnsi="宋体" w:eastAsia="宋体" w:cs="宋体"/>
                <w:i w:val="0"/>
                <w:iCs w:val="0"/>
                <w:color w:val="auto"/>
                <w:sz w:val="24"/>
                <w:szCs w:val="24"/>
                <w:highlight w:val="none"/>
                <w:u w:val="none"/>
              </w:rPr>
            </w:pPr>
          </w:p>
        </w:tc>
      </w:tr>
    </w:tbl>
    <w:p>
      <w:pPr>
        <w:pStyle w:val="2"/>
        <w:keepNext w:val="0"/>
        <w:keepLines w:val="0"/>
        <w:pageBreakBefore w:val="0"/>
        <w:widowControl w:val="0"/>
        <w:kinsoku/>
        <w:wordWrap/>
        <w:overflowPunct/>
        <w:topLinePunct w:val="0"/>
        <w:autoSpaceDE/>
        <w:autoSpaceDN/>
        <w:bidi w:val="0"/>
        <w:adjustRightInd/>
        <w:snapToGrid/>
        <w:spacing w:before="0" w:line="420" w:lineRule="exact"/>
        <w:textAlignment w:val="auto"/>
        <w:rPr>
          <w:rFonts w:hint="default" w:ascii="Times New Roman" w:hAnsi="Times New Roman" w:eastAsia="宋体" w:cs="Times New Roman"/>
          <w:b/>
          <w:bCs/>
          <w:color w:val="auto"/>
          <w:szCs w:val="21"/>
          <w:highlight w:val="none"/>
          <w:lang w:val="en-US" w:eastAsia="zh-CN"/>
        </w:rPr>
      </w:pPr>
      <w:r>
        <w:rPr>
          <w:rFonts w:hint="eastAsia" w:ascii="宋体" w:hAnsi="宋体"/>
          <w:color w:val="auto"/>
          <w:szCs w:val="21"/>
          <w:highlight w:val="none"/>
          <w:lang w:val="en-US" w:eastAsia="zh-CN"/>
        </w:rPr>
        <w:t>一、上表中</w:t>
      </w:r>
      <w:r>
        <w:rPr>
          <w:rFonts w:hint="eastAsia" w:ascii="宋体" w:hAnsi="宋体" w:eastAsia="宋体"/>
          <w:b/>
          <w:bCs/>
          <w:color w:val="auto"/>
          <w:kern w:val="2"/>
          <w:szCs w:val="24"/>
          <w:highlight w:val="none"/>
        </w:rPr>
        <w:t>基准价</w:t>
      </w:r>
      <w:r>
        <w:rPr>
          <w:rFonts w:hint="eastAsia" w:ascii="宋体" w:hAnsi="宋体" w:eastAsia="宋体"/>
          <w:color w:val="auto"/>
          <w:szCs w:val="21"/>
          <w:highlight w:val="none"/>
          <w:lang w:val="en-US" w:eastAsia="zh-CN"/>
        </w:rPr>
        <w:t>为</w:t>
      </w:r>
      <w:r>
        <w:rPr>
          <w:rFonts w:hint="eastAsia" w:ascii="宋体" w:hAnsi="宋体" w:eastAsia="宋体"/>
          <w:color w:val="auto"/>
          <w:szCs w:val="21"/>
          <w:highlight w:val="none"/>
        </w:rPr>
        <w:t>“我的钢铁网”</w:t>
      </w:r>
      <w:r>
        <w:rPr>
          <w:rFonts w:hint="default" w:ascii="Times New Roman" w:hAnsi="Times New Roman" w:eastAsia="宋体" w:cs="Times New Roman"/>
          <w:color w:val="auto"/>
          <w:szCs w:val="21"/>
          <w:highlight w:val="none"/>
        </w:rPr>
        <w:t>https://www.mysteel.com</w:t>
      </w:r>
      <w:r>
        <w:rPr>
          <w:rFonts w:hint="eastAsia" w:ascii="宋体" w:hAnsi="宋体" w:eastAsia="宋体"/>
          <w:b/>
          <w:bCs/>
          <w:color w:val="auto"/>
          <w:szCs w:val="21"/>
          <w:highlight w:val="none"/>
        </w:rPr>
        <w:t>2</w:t>
      </w:r>
      <w:r>
        <w:rPr>
          <w:rFonts w:ascii="宋体" w:hAnsi="宋体" w:eastAsia="宋体"/>
          <w:b/>
          <w:bCs/>
          <w:color w:val="auto"/>
          <w:szCs w:val="21"/>
          <w:highlight w:val="none"/>
        </w:rPr>
        <w:t>02</w:t>
      </w:r>
      <w:r>
        <w:rPr>
          <w:rFonts w:hint="eastAsia" w:ascii="宋体" w:hAnsi="宋体"/>
          <w:b/>
          <w:bCs/>
          <w:color w:val="auto"/>
          <w:szCs w:val="21"/>
          <w:highlight w:val="none"/>
          <w:lang w:val="en-US" w:eastAsia="zh-CN"/>
        </w:rPr>
        <w:t>4</w:t>
      </w:r>
      <w:r>
        <w:rPr>
          <w:rFonts w:hint="eastAsia" w:ascii="宋体" w:hAnsi="宋体" w:eastAsia="宋体"/>
          <w:b/>
          <w:bCs/>
          <w:color w:val="auto"/>
          <w:szCs w:val="21"/>
          <w:highlight w:val="none"/>
        </w:rPr>
        <w:t>年</w:t>
      </w:r>
      <w:r>
        <w:rPr>
          <w:rFonts w:hint="eastAsia" w:ascii="宋体" w:hAnsi="宋体"/>
          <w:b/>
          <w:bCs/>
          <w:color w:val="auto"/>
          <w:szCs w:val="21"/>
          <w:highlight w:val="none"/>
          <w:lang w:val="en-US" w:eastAsia="zh-CN"/>
        </w:rPr>
        <w:t>5</w:t>
      </w:r>
      <w:r>
        <w:rPr>
          <w:rFonts w:hint="eastAsia" w:ascii="宋体" w:hAnsi="宋体" w:eastAsia="宋体"/>
          <w:b/>
          <w:bCs/>
          <w:color w:val="auto"/>
          <w:szCs w:val="21"/>
          <w:highlight w:val="none"/>
        </w:rPr>
        <w:t>月</w:t>
      </w:r>
      <w:r>
        <w:rPr>
          <w:rFonts w:hint="eastAsia" w:ascii="宋体" w:hAnsi="宋体"/>
          <w:b/>
          <w:color w:val="auto"/>
          <w:szCs w:val="21"/>
          <w:highlight w:val="none"/>
          <w:lang w:val="en-US" w:eastAsia="zh-CN"/>
        </w:rPr>
        <w:t>14</w:t>
      </w:r>
      <w:r>
        <w:rPr>
          <w:rFonts w:hint="eastAsia" w:ascii="宋体" w:hAnsi="宋体"/>
          <w:b/>
          <w:color w:val="auto"/>
          <w:szCs w:val="21"/>
          <w:highlight w:val="none"/>
        </w:rPr>
        <w:t>日</w:t>
      </w:r>
      <w:r>
        <w:rPr>
          <w:rFonts w:hint="eastAsia" w:ascii="宋体" w:hAnsi="宋体"/>
          <w:color w:val="auto"/>
          <w:szCs w:val="21"/>
          <w:highlight w:val="none"/>
          <w:lang w:val="en-US" w:eastAsia="zh-CN"/>
        </w:rPr>
        <w:t>第</w:t>
      </w:r>
      <w:r>
        <w:rPr>
          <w:rFonts w:hint="eastAsia" w:ascii="宋体" w:hAnsi="宋体" w:eastAsia="宋体"/>
          <w:color w:val="auto"/>
          <w:szCs w:val="21"/>
          <w:highlight w:val="none"/>
        </w:rPr>
        <w:t>一次发布的的</w:t>
      </w:r>
      <w:r>
        <w:rPr>
          <w:rFonts w:hint="eastAsia" w:ascii="宋体" w:hAnsi="宋体"/>
          <w:b/>
          <w:bCs/>
          <w:color w:val="auto"/>
          <w:szCs w:val="21"/>
          <w:highlight w:val="none"/>
          <w:lang w:val="en-US" w:eastAsia="zh-CN"/>
        </w:rPr>
        <w:t>中天、永钢钢材</w:t>
      </w:r>
      <w:r>
        <w:rPr>
          <w:rFonts w:hint="eastAsia" w:ascii="宋体" w:hAnsi="宋体" w:eastAsia="宋体"/>
          <w:color w:val="auto"/>
          <w:szCs w:val="21"/>
          <w:highlight w:val="none"/>
        </w:rPr>
        <w:t>各种直径规格钢材</w:t>
      </w:r>
      <w:r>
        <w:rPr>
          <w:rFonts w:hint="eastAsia" w:ascii="宋体" w:hAnsi="宋体"/>
          <w:color w:val="auto"/>
          <w:szCs w:val="21"/>
          <w:highlight w:val="none"/>
          <w:lang w:val="en-US" w:eastAsia="zh-CN"/>
        </w:rPr>
        <w:t>中</w:t>
      </w:r>
      <w:r>
        <w:rPr>
          <w:rFonts w:hint="eastAsia" w:ascii="宋体" w:hAnsi="宋体" w:eastAsia="宋体"/>
          <w:color w:val="auto"/>
          <w:szCs w:val="21"/>
          <w:highlight w:val="none"/>
        </w:rPr>
        <w:t>上海地区价格</w:t>
      </w:r>
      <w:r>
        <w:rPr>
          <w:rFonts w:hint="eastAsia" w:ascii="宋体" w:hAnsi="宋体"/>
          <w:color w:val="auto"/>
          <w:szCs w:val="21"/>
          <w:highlight w:val="none"/>
          <w:lang w:eastAsia="zh-CN"/>
        </w:rPr>
        <w:t>，</w:t>
      </w:r>
      <w:r>
        <w:rPr>
          <w:rFonts w:hint="eastAsia" w:ascii="宋体" w:hAnsi="宋体" w:eastAsia="宋体"/>
          <w:color w:val="auto"/>
          <w:szCs w:val="21"/>
          <w:highlight w:val="none"/>
        </w:rPr>
        <w:t>钢材报价以</w:t>
      </w:r>
      <w:r>
        <w:rPr>
          <w:rFonts w:hint="eastAsia" w:ascii="宋体" w:hAnsi="宋体"/>
          <w:color w:val="auto"/>
          <w:szCs w:val="21"/>
          <w:highlight w:val="none"/>
          <w:lang w:val="en-US" w:eastAsia="zh-CN"/>
        </w:rPr>
        <w:t>基准价为基数</w:t>
      </w:r>
      <w:r>
        <w:rPr>
          <w:rFonts w:hint="eastAsia" w:ascii="宋体" w:hAnsi="宋体" w:eastAsia="宋体"/>
          <w:b/>
          <w:bCs/>
          <w:color w:val="auto"/>
          <w:szCs w:val="21"/>
          <w:highlight w:val="none"/>
        </w:rPr>
        <w:t>报上下浮动价</w:t>
      </w:r>
      <w:r>
        <w:rPr>
          <w:rFonts w:hint="eastAsia" w:ascii="宋体" w:hAnsi="宋体" w:eastAsia="宋体"/>
          <w:color w:val="auto"/>
          <w:szCs w:val="21"/>
          <w:highlight w:val="none"/>
        </w:rPr>
        <w:t>。</w:t>
      </w:r>
      <w:r>
        <w:rPr>
          <w:rFonts w:hint="default" w:ascii="Times New Roman" w:hAnsi="Times New Roman" w:eastAsia="宋体" w:cs="Times New Roman"/>
          <w:b/>
          <w:bCs w:val="0"/>
          <w:color w:val="auto"/>
          <w:szCs w:val="21"/>
          <w:highlight w:val="none"/>
        </w:rPr>
        <w:t>①HPB300直径</w:t>
      </w:r>
      <w:r>
        <w:rPr>
          <w:rFonts w:hint="eastAsia" w:ascii="Times New Roman" w:hAnsi="Times New Roman" w:eastAsia="宋体" w:cs="Times New Roman"/>
          <w:b/>
          <w:bCs w:val="0"/>
          <w:color w:val="auto"/>
          <w:szCs w:val="21"/>
          <w:highlight w:val="none"/>
          <w:lang w:val="en-US" w:eastAsia="zh-CN"/>
        </w:rPr>
        <w:t>为</w:t>
      </w:r>
      <w:r>
        <w:rPr>
          <w:rFonts w:hint="default" w:ascii="Times New Roman" w:hAnsi="Times New Roman" w:eastAsia="宋体" w:cs="Times New Roman"/>
          <w:b/>
          <w:bCs w:val="0"/>
          <w:color w:val="auto"/>
          <w:szCs w:val="21"/>
          <w:highlight w:val="none"/>
        </w:rPr>
        <w:t>16mm</w:t>
      </w:r>
      <w:r>
        <w:rPr>
          <w:rFonts w:hint="eastAsia" w:ascii="Times New Roman" w:hAnsi="Times New Roman" w:eastAsia="宋体" w:cs="Times New Roman"/>
          <w:b/>
          <w:bCs w:val="0"/>
          <w:color w:val="auto"/>
          <w:szCs w:val="21"/>
          <w:highlight w:val="none"/>
          <w:lang w:val="en-US" w:eastAsia="zh-CN"/>
        </w:rPr>
        <w:t>的</w:t>
      </w:r>
      <w:r>
        <w:rPr>
          <w:rFonts w:hint="eastAsia" w:ascii="宋体" w:hAnsi="宋体" w:eastAsia="宋体"/>
          <w:b/>
          <w:bCs w:val="0"/>
          <w:color w:val="auto"/>
          <w:szCs w:val="21"/>
          <w:highlight w:val="none"/>
        </w:rPr>
        <w:t>热轧</w:t>
      </w:r>
      <w:r>
        <w:rPr>
          <w:rFonts w:hint="eastAsia" w:ascii="宋体" w:hAnsi="宋体" w:eastAsia="宋体"/>
          <w:b/>
          <w:bCs w:val="0"/>
          <w:color w:val="auto"/>
          <w:szCs w:val="21"/>
          <w:highlight w:val="none"/>
          <w:lang w:val="en-US" w:eastAsia="zh-CN"/>
        </w:rPr>
        <w:t>光圆</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永钢</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lang w:val="en-US" w:eastAsia="zh-CN"/>
        </w:rPr>
        <w:t>该</w:t>
      </w:r>
      <w:r>
        <w:rPr>
          <w:rFonts w:hint="eastAsia" w:ascii="宋体" w:hAnsi="宋体" w:eastAsia="宋体"/>
          <w:b/>
          <w:bCs/>
          <w:color w:val="auto"/>
          <w:szCs w:val="21"/>
          <w:highlight w:val="none"/>
        </w:rPr>
        <w:t>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b/>
          <w:color w:val="auto"/>
          <w:szCs w:val="21"/>
          <w:highlight w:val="none"/>
          <w:lang w:eastAsia="zh-CN"/>
        </w:rPr>
        <w:t>；</w:t>
      </w:r>
      <w:r>
        <w:rPr>
          <w:rFonts w:hint="default" w:ascii="Times New Roman" w:hAnsi="Times New Roman" w:eastAsia="宋体" w:cs="Times New Roman"/>
          <w:b/>
          <w:color w:val="auto"/>
          <w:szCs w:val="21"/>
          <w:highlight w:val="none"/>
          <w:lang w:eastAsia="zh-CN"/>
        </w:rPr>
        <w:t>②</w:t>
      </w:r>
      <w:r>
        <w:rPr>
          <w:rFonts w:hint="eastAsia" w:ascii="Times New Roman" w:hAnsi="Times New Roman" w:eastAsia="宋体" w:cs="Times New Roman"/>
          <w:b/>
          <w:color w:val="auto"/>
          <w:szCs w:val="21"/>
          <w:highlight w:val="none"/>
          <w:lang w:val="en-US" w:eastAsia="zh-CN"/>
        </w:rPr>
        <w:t>除</w:t>
      </w:r>
      <w:r>
        <w:rPr>
          <w:rFonts w:hint="eastAsia" w:ascii="宋体" w:hAnsi="宋体" w:eastAsia="宋体"/>
          <w:b/>
          <w:bCs w:val="0"/>
          <w:color w:val="auto"/>
          <w:szCs w:val="21"/>
          <w:highlight w:val="none"/>
          <w:lang w:val="en-US" w:eastAsia="zh-CN"/>
        </w:rPr>
        <w:t>HPB300直径为16mm以外的各直径规格</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中天</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rPr>
        <w:t>各种规格钢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color w:val="auto"/>
          <w:szCs w:val="21"/>
          <w:highlight w:val="none"/>
        </w:rPr>
        <w:t>。</w:t>
      </w:r>
      <w:r>
        <w:rPr>
          <w:rFonts w:hint="eastAsia" w:ascii="Times New Roman" w:hAnsi="Times New Roman" w:eastAsia="宋体" w:cs="Times New Roman"/>
          <w:b/>
          <w:bCs w:val="0"/>
          <w:color w:val="auto"/>
          <w:szCs w:val="21"/>
          <w:highlight w:val="none"/>
          <w:lang w:val="en-US" w:eastAsia="zh-CN"/>
        </w:rPr>
        <w:t>“订货通知单”须注明各品牌规格钢材当天的网牌价。</w:t>
      </w:r>
    </w:p>
    <w:p>
      <w:pPr>
        <w:pStyle w:val="2"/>
        <w:keepNext w:val="0"/>
        <w:keepLines w:val="0"/>
        <w:pageBreakBefore w:val="0"/>
        <w:widowControl w:val="0"/>
        <w:kinsoku/>
        <w:wordWrap/>
        <w:overflowPunct/>
        <w:topLinePunct w:val="0"/>
        <w:autoSpaceDE/>
        <w:autoSpaceDN/>
        <w:bidi w:val="0"/>
        <w:adjustRightInd/>
        <w:snapToGrid/>
        <w:spacing w:before="0" w:line="420" w:lineRule="exact"/>
        <w:textAlignment w:val="auto"/>
        <w:rPr>
          <w:rFonts w:hint="eastAsia" w:ascii="宋体" w:hAnsi="宋体" w:eastAsia="宋体" w:cs="Arial"/>
          <w:b w:val="0"/>
          <w:bCs w:val="0"/>
          <w:color w:val="auto"/>
          <w:szCs w:val="21"/>
          <w:highlight w:val="none"/>
        </w:rPr>
      </w:pPr>
      <w:r>
        <w:rPr>
          <w:rFonts w:hint="eastAsia" w:ascii="宋体" w:hAnsi="宋体"/>
          <w:color w:val="auto"/>
          <w:szCs w:val="21"/>
          <w:highlight w:val="none"/>
          <w:lang w:val="en-US" w:eastAsia="zh-CN"/>
        </w:rPr>
        <w:t>二、</w:t>
      </w:r>
      <w:r>
        <w:rPr>
          <w:rFonts w:hint="eastAsia" w:ascii="宋体" w:hAnsi="宋体" w:eastAsia="宋体"/>
          <w:color w:val="auto"/>
          <w:szCs w:val="21"/>
          <w:highlight w:val="none"/>
        </w:rPr>
        <w:t>以上报价为</w:t>
      </w:r>
      <w:r>
        <w:rPr>
          <w:rFonts w:hint="eastAsia" w:ascii="宋体" w:hAnsi="宋体"/>
          <w:color w:val="auto"/>
          <w:szCs w:val="21"/>
          <w:highlight w:val="none"/>
          <w:lang w:val="en-US" w:eastAsia="zh-CN"/>
        </w:rPr>
        <w:t>我</w:t>
      </w:r>
      <w:r>
        <w:rPr>
          <w:rFonts w:hint="eastAsia" w:ascii="宋体" w:hAnsi="宋体" w:eastAsia="宋体"/>
          <w:color w:val="auto"/>
          <w:szCs w:val="21"/>
          <w:highlight w:val="none"/>
        </w:rPr>
        <w:t>方送货到</w:t>
      </w:r>
      <w:r>
        <w:rPr>
          <w:rFonts w:hint="eastAsia" w:ascii="宋体" w:hAnsi="宋体" w:eastAsia="宋体" w:cs="宋体-18030"/>
          <w:b/>
          <w:bCs/>
          <w:color w:val="auto"/>
          <w:szCs w:val="24"/>
          <w:highlight w:val="none"/>
          <w:u w:val="single"/>
        </w:rPr>
        <w:t>淮河入海水道二期滨海枢纽工程土建施工及设备安装</w:t>
      </w:r>
      <w:r>
        <w:rPr>
          <w:rFonts w:hint="eastAsia" w:ascii="宋体" w:hAnsi="宋体" w:eastAsia="宋体" w:cs="宋体-18030"/>
          <w:b/>
          <w:bCs/>
          <w:color w:val="auto"/>
          <w:szCs w:val="24"/>
          <w:highlight w:val="none"/>
          <w:u w:val="single"/>
          <w:lang w:val="en-US" w:eastAsia="zh-CN"/>
        </w:rPr>
        <w:t>工程</w:t>
      </w:r>
      <w:r>
        <w:rPr>
          <w:rFonts w:hint="eastAsia" w:ascii="宋体" w:hAnsi="宋体" w:eastAsia="宋体" w:cs="宋体-18030"/>
          <w:b w:val="0"/>
          <w:bCs w:val="0"/>
          <w:color w:val="auto"/>
          <w:szCs w:val="24"/>
          <w:highlight w:val="none"/>
          <w:u w:val="none"/>
          <w:lang w:val="en-US" w:eastAsia="zh-CN"/>
        </w:rPr>
        <w:t>施工现场</w:t>
      </w:r>
      <w:r>
        <w:rPr>
          <w:rFonts w:hint="eastAsia" w:ascii="宋体" w:hAnsi="宋体"/>
          <w:b w:val="0"/>
          <w:bCs w:val="0"/>
          <w:color w:val="auto"/>
          <w:szCs w:val="21"/>
          <w:highlight w:val="none"/>
          <w:u w:val="none"/>
          <w:lang w:val="en-US" w:eastAsia="zh-CN"/>
        </w:rPr>
        <w:t>的</w:t>
      </w:r>
      <w:r>
        <w:rPr>
          <w:rFonts w:hint="eastAsia" w:ascii="宋体" w:hAnsi="宋体" w:eastAsia="宋体"/>
          <w:color w:val="auto"/>
          <w:szCs w:val="24"/>
          <w:highlight w:val="none"/>
        </w:rPr>
        <w:t>价格，</w:t>
      </w:r>
      <w:r>
        <w:rPr>
          <w:rFonts w:hint="eastAsia" w:ascii="宋体" w:hAnsi="宋体"/>
          <w:color w:val="auto"/>
          <w:szCs w:val="24"/>
          <w:highlight w:val="none"/>
          <w:lang w:val="en-US" w:eastAsia="zh-CN"/>
        </w:rPr>
        <w:t>已</w:t>
      </w:r>
      <w:r>
        <w:rPr>
          <w:rFonts w:hint="eastAsia" w:ascii="宋体" w:hAnsi="宋体" w:eastAsia="宋体" w:cs="宋体"/>
          <w:color w:val="auto"/>
          <w:highlight w:val="none"/>
        </w:rPr>
        <w:t>包含货款、运输费、管理费、</w:t>
      </w:r>
      <w:r>
        <w:rPr>
          <w:rFonts w:ascii="宋体" w:hAnsi="宋体" w:eastAsia="宋体" w:cs="宋体"/>
          <w:color w:val="auto"/>
          <w:highlight w:val="none"/>
        </w:rPr>
        <w:t>利润、</w:t>
      </w:r>
      <w:r>
        <w:rPr>
          <w:rFonts w:hint="eastAsia" w:ascii="宋体" w:hAnsi="宋体" w:eastAsia="宋体" w:cs="宋体"/>
          <w:color w:val="auto"/>
          <w:highlight w:val="none"/>
        </w:rPr>
        <w:t>税费</w:t>
      </w:r>
      <w:r>
        <w:rPr>
          <w:rFonts w:ascii="宋体" w:hAnsi="宋体" w:eastAsia="宋体" w:cs="宋体"/>
          <w:color w:val="auto"/>
          <w:highlight w:val="none"/>
        </w:rPr>
        <w:t>，</w:t>
      </w:r>
      <w:r>
        <w:rPr>
          <w:rFonts w:hint="eastAsia" w:ascii="宋体" w:hAnsi="宋体" w:eastAsia="宋体" w:cs="宋体"/>
          <w:color w:val="auto"/>
          <w:highlight w:val="none"/>
          <w:lang w:val="en-US" w:eastAsia="zh-CN"/>
        </w:rPr>
        <w:t>并包含</w:t>
      </w:r>
      <w:r>
        <w:rPr>
          <w:rFonts w:ascii="宋体" w:hAnsi="宋体" w:eastAsia="宋体" w:cs="宋体"/>
          <w:color w:val="auto"/>
          <w:highlight w:val="none"/>
        </w:rPr>
        <w:t>钢材装车、运输</w:t>
      </w:r>
      <w:r>
        <w:rPr>
          <w:rFonts w:hint="eastAsia" w:ascii="宋体" w:hAnsi="宋体" w:eastAsia="宋体" w:cs="宋体"/>
          <w:color w:val="auto"/>
          <w:highlight w:val="none"/>
        </w:rPr>
        <w:t>、卸车</w:t>
      </w:r>
      <w:r>
        <w:rPr>
          <w:rFonts w:ascii="宋体" w:hAnsi="宋体" w:eastAsia="宋体" w:cs="宋体"/>
          <w:color w:val="auto"/>
          <w:highlight w:val="none"/>
        </w:rPr>
        <w:t>等全过程的安全保险、措施、以及如发生安全事故导致的赔偿</w:t>
      </w:r>
      <w:r>
        <w:rPr>
          <w:rFonts w:hint="eastAsia"/>
          <w:color w:val="auto"/>
          <w:szCs w:val="21"/>
          <w:highlight w:val="none"/>
        </w:rPr>
        <w:t>等全部费用</w:t>
      </w:r>
      <w:r>
        <w:rPr>
          <w:rFonts w:hint="eastAsia"/>
          <w:color w:val="auto"/>
          <w:szCs w:val="21"/>
          <w:highlight w:val="none"/>
          <w:lang w:eastAsia="zh-CN"/>
        </w:rPr>
        <w:t>，</w:t>
      </w:r>
      <w:r>
        <w:rPr>
          <w:rFonts w:hint="eastAsia" w:cs="Times New Roman"/>
          <w:b/>
          <w:bCs/>
          <w:color w:val="auto"/>
          <w:highlight w:val="none"/>
          <w:lang w:val="en-US" w:eastAsia="zh-CN"/>
        </w:rPr>
        <w:t>我方不以任何理</w:t>
      </w:r>
      <w:r>
        <w:rPr>
          <w:rFonts w:hint="eastAsia" w:ascii="宋体" w:hAnsi="宋体" w:eastAsia="宋体" w:cs="Arial"/>
          <w:b/>
          <w:bCs/>
          <w:color w:val="auto"/>
          <w:szCs w:val="21"/>
          <w:highlight w:val="none"/>
          <w:lang w:val="en-US" w:eastAsia="zh-CN"/>
        </w:rPr>
        <w:t>由额外索取任何费用</w:t>
      </w:r>
      <w:r>
        <w:rPr>
          <w:rFonts w:hint="eastAsia" w:ascii="宋体" w:hAnsi="宋体" w:eastAsia="宋体" w:cs="Arial"/>
          <w:b w:val="0"/>
          <w:bCs w:val="0"/>
          <w:color w:val="auto"/>
          <w:szCs w:val="21"/>
          <w:highlight w:val="none"/>
          <w:lang w:val="en-US" w:eastAsia="zh-CN"/>
        </w:rPr>
        <w:t>并</w:t>
      </w:r>
      <w:r>
        <w:rPr>
          <w:rFonts w:hint="default" w:ascii="宋体" w:hAnsi="宋体" w:eastAsia="宋体" w:cs="Arial"/>
          <w:b w:val="0"/>
          <w:bCs w:val="0"/>
          <w:color w:val="auto"/>
          <w:szCs w:val="21"/>
          <w:highlight w:val="none"/>
        </w:rPr>
        <w:t>提供税率为13%的增值税专用发票。</w:t>
      </w:r>
    </w:p>
    <w:p>
      <w:pPr>
        <w:pStyle w:val="2"/>
        <w:keepNext w:val="0"/>
        <w:keepLines w:val="0"/>
        <w:pageBreakBefore w:val="0"/>
        <w:kinsoku/>
        <w:wordWrap/>
        <w:overflowPunct/>
        <w:topLinePunct w:val="0"/>
        <w:autoSpaceDE/>
        <w:autoSpaceDN/>
        <w:bidi w:val="0"/>
        <w:adjustRightInd/>
        <w:snapToGrid/>
        <w:spacing w:before="0" w:line="420" w:lineRule="exact"/>
        <w:textAlignment w:val="auto"/>
        <w:rPr>
          <w:rFonts w:hint="eastAsia" w:ascii="宋体" w:hAnsi="宋体" w:eastAsia="宋体" w:cs="Arial"/>
          <w:b w:val="0"/>
          <w:bCs w:val="0"/>
          <w:color w:val="auto"/>
          <w:szCs w:val="21"/>
          <w:highlight w:val="none"/>
        </w:rPr>
      </w:pPr>
      <w:r>
        <w:rPr>
          <w:rFonts w:hint="eastAsia" w:ascii="宋体" w:hAnsi="宋体" w:eastAsia="宋体" w:cs="Arial"/>
          <w:b w:val="0"/>
          <w:bCs w:val="0"/>
          <w:color w:val="auto"/>
          <w:szCs w:val="21"/>
          <w:highlight w:val="none"/>
          <w:lang w:val="en-US" w:eastAsia="zh-CN"/>
        </w:rPr>
        <w:t>三、钢筋质量要求：</w:t>
      </w:r>
      <w:r>
        <w:rPr>
          <w:rFonts w:hint="eastAsia" w:ascii="宋体" w:hAnsi="宋体" w:eastAsia="宋体" w:cs="Arial"/>
          <w:b w:val="0"/>
          <w:bCs w:val="0"/>
          <w:color w:val="auto"/>
          <w:szCs w:val="21"/>
          <w:highlight w:val="none"/>
        </w:rPr>
        <w:t>满足GB1499</w:t>
      </w:r>
      <w:r>
        <w:rPr>
          <w:rFonts w:hint="eastAsia" w:ascii="宋体" w:hAnsi="宋体" w:eastAsia="宋体" w:cs="Arial"/>
          <w:b w:val="0"/>
          <w:bCs w:val="0"/>
          <w:color w:val="auto"/>
          <w:szCs w:val="21"/>
          <w:highlight w:val="none"/>
          <w:lang w:val="en-US" w:eastAsia="zh-CN"/>
        </w:rPr>
        <w:t>.</w:t>
      </w:r>
      <w:r>
        <w:rPr>
          <w:rFonts w:hint="eastAsia" w:ascii="宋体" w:hAnsi="宋体" w:eastAsia="宋体" w:cs="Arial"/>
          <w:b w:val="0"/>
          <w:bCs w:val="0"/>
          <w:color w:val="auto"/>
          <w:szCs w:val="21"/>
          <w:highlight w:val="none"/>
        </w:rPr>
        <w:t>1-2017</w:t>
      </w:r>
      <w:r>
        <w:rPr>
          <w:rFonts w:hint="eastAsia" w:ascii="宋体" w:hAnsi="宋体" w:eastAsia="宋体" w:cs="Arial"/>
          <w:b w:val="0"/>
          <w:bCs w:val="0"/>
          <w:color w:val="auto"/>
          <w:szCs w:val="21"/>
          <w:highlight w:val="none"/>
          <w:lang w:eastAsia="zh-CN"/>
        </w:rPr>
        <w:t>、</w:t>
      </w:r>
      <w:r>
        <w:rPr>
          <w:rFonts w:hint="eastAsia" w:ascii="宋体" w:hAnsi="宋体" w:eastAsia="宋体" w:cs="Arial"/>
          <w:b w:val="0"/>
          <w:bCs w:val="0"/>
          <w:color w:val="auto"/>
          <w:szCs w:val="21"/>
          <w:highlight w:val="none"/>
        </w:rPr>
        <w:t>GB1499.2-2018</w:t>
      </w:r>
    </w:p>
    <w:p>
      <w:pPr>
        <w:pStyle w:val="2"/>
        <w:keepNext w:val="0"/>
        <w:keepLines w:val="0"/>
        <w:pageBreakBefore w:val="0"/>
        <w:kinsoku/>
        <w:wordWrap/>
        <w:overflowPunct/>
        <w:topLinePunct w:val="0"/>
        <w:autoSpaceDE/>
        <w:autoSpaceDN/>
        <w:bidi w:val="0"/>
        <w:adjustRightInd/>
        <w:snapToGrid/>
        <w:spacing w:before="0" w:line="420" w:lineRule="exact"/>
        <w:textAlignment w:val="auto"/>
        <w:rPr>
          <w:rFonts w:hint="eastAsia" w:ascii="宋体" w:hAnsi="宋体" w:eastAsia="宋体" w:cs="Arial"/>
          <w:b w:val="0"/>
          <w:bCs w:val="0"/>
          <w:color w:val="auto"/>
          <w:szCs w:val="21"/>
          <w:highlight w:val="none"/>
        </w:rPr>
      </w:pPr>
      <w:r>
        <w:rPr>
          <w:rFonts w:hint="eastAsia" w:ascii="宋体" w:hAnsi="宋体" w:eastAsia="宋体" w:cs="Arial"/>
          <w:b w:val="0"/>
          <w:bCs w:val="0"/>
          <w:color w:val="auto"/>
          <w:szCs w:val="21"/>
          <w:highlight w:val="none"/>
          <w:lang w:val="en-US" w:eastAsia="zh-CN"/>
        </w:rPr>
        <w:t>四、</w:t>
      </w:r>
      <w:r>
        <w:rPr>
          <w:rFonts w:hint="eastAsia" w:ascii="宋体" w:hAnsi="宋体" w:eastAsia="宋体" w:cs="Arial"/>
          <w:b w:val="0"/>
          <w:bCs w:val="0"/>
          <w:color w:val="auto"/>
          <w:szCs w:val="21"/>
          <w:highlight w:val="none"/>
        </w:rPr>
        <w:t>钢材的尺寸：钢筋长度为12m或9m</w:t>
      </w:r>
      <w:r>
        <w:rPr>
          <w:rFonts w:hint="eastAsia" w:ascii="宋体" w:hAnsi="宋体" w:eastAsia="宋体" w:cs="Arial"/>
          <w:b w:val="0"/>
          <w:bCs w:val="0"/>
          <w:color w:val="auto"/>
          <w:szCs w:val="21"/>
          <w:highlight w:val="none"/>
          <w:lang w:eastAsia="zh-CN"/>
        </w:rPr>
        <w:t>，</w:t>
      </w:r>
      <w:r>
        <w:rPr>
          <w:rFonts w:hint="eastAsia" w:ascii="宋体" w:hAnsi="宋体" w:eastAsia="宋体" w:cs="Arial"/>
          <w:b w:val="0"/>
          <w:bCs w:val="0"/>
          <w:color w:val="auto"/>
          <w:szCs w:val="21"/>
          <w:highlight w:val="none"/>
          <w:lang w:val="en-US" w:eastAsia="zh-CN"/>
        </w:rPr>
        <w:t>且均不加价</w:t>
      </w:r>
      <w:r>
        <w:rPr>
          <w:rFonts w:hint="eastAsia" w:ascii="宋体" w:hAnsi="宋体" w:eastAsia="宋体" w:cs="Arial"/>
          <w:b w:val="0"/>
          <w:bCs w:val="0"/>
          <w:color w:val="auto"/>
          <w:szCs w:val="21"/>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eastAsia" w:ascii="宋体" w:hAnsi="宋体" w:cs="宋体"/>
          <w:color w:val="auto"/>
          <w:highlight w:val="none"/>
          <w:shd w:val="clear" w:color="auto" w:fill="FFFFFF"/>
        </w:rPr>
      </w:pPr>
      <w:r>
        <w:rPr>
          <w:rFonts w:hint="eastAsia" w:ascii="宋体" w:hAnsi="宋体"/>
          <w:color w:val="auto"/>
          <w:szCs w:val="21"/>
          <w:highlight w:val="none"/>
          <w:lang w:val="en-US" w:eastAsia="zh-CN"/>
        </w:rPr>
        <w:t>五、我方接受贵公司约定的付款条件和付款方式。</w:t>
      </w:r>
    </w:p>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480"/>
        <w:jc w:val="both"/>
        <w:textAlignment w:val="auto"/>
        <w:rPr>
          <w:rFonts w:ascii="宋体" w:hAnsi="宋体" w:eastAsia="宋体"/>
          <w:color w:val="auto"/>
          <w:kern w:val="2"/>
          <w:szCs w:val="24"/>
          <w:highlight w:val="none"/>
        </w:rPr>
      </w:pPr>
      <w:r>
        <w:rPr>
          <w:rFonts w:hint="eastAsia" w:ascii="宋体" w:hAnsi="宋体" w:eastAsia="宋体"/>
          <w:color w:val="auto"/>
          <w:kern w:val="2"/>
          <w:szCs w:val="24"/>
          <w:highlight w:val="none"/>
        </w:rPr>
        <w:t>报价人：（单位名称并盖章）            法人或授权委托人：（签名）</w:t>
      </w:r>
    </w:p>
    <w:p>
      <w:pPr>
        <w:keepNext w:val="0"/>
        <w:keepLines w:val="0"/>
        <w:pageBreakBefore w:val="0"/>
        <w:widowControl w:val="0"/>
        <w:kinsoku/>
        <w:wordWrap/>
        <w:overflowPunct/>
        <w:topLinePunct w:val="0"/>
        <w:autoSpaceDE/>
        <w:autoSpaceDN/>
        <w:bidi w:val="0"/>
        <w:adjustRightInd/>
        <w:snapToGrid/>
        <w:spacing w:line="420" w:lineRule="exact"/>
        <w:ind w:firstLine="480"/>
        <w:jc w:val="both"/>
        <w:textAlignment w:val="auto"/>
        <w:rPr>
          <w:rFonts w:ascii="宋体" w:hAnsi="宋体" w:eastAsia="宋体"/>
          <w:color w:val="auto"/>
          <w:kern w:val="2"/>
          <w:szCs w:val="24"/>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480"/>
        <w:jc w:val="both"/>
        <w:textAlignment w:val="auto"/>
        <w:rPr>
          <w:rFonts w:ascii="宋体" w:hAnsi="宋体" w:eastAsia="宋体"/>
          <w:color w:val="auto"/>
          <w:kern w:val="2"/>
          <w:szCs w:val="24"/>
          <w:highlight w:val="none"/>
        </w:rPr>
      </w:pPr>
      <w:r>
        <w:rPr>
          <w:rFonts w:hint="eastAsia" w:ascii="宋体" w:hAnsi="宋体" w:eastAsia="宋体"/>
          <w:color w:val="auto"/>
          <w:kern w:val="2"/>
          <w:szCs w:val="24"/>
          <w:highlight w:val="none"/>
        </w:rPr>
        <w:t xml:space="preserve">法人或授权委托人身份证号:             法人或授权委托人电话：                  </w:t>
      </w:r>
    </w:p>
    <w:p>
      <w:pPr>
        <w:keepNext w:val="0"/>
        <w:keepLines w:val="0"/>
        <w:pageBreakBefore w:val="0"/>
        <w:widowControl/>
        <w:kinsoku/>
        <w:wordWrap/>
        <w:overflowPunct/>
        <w:topLinePunct w:val="0"/>
        <w:autoSpaceDE/>
        <w:autoSpaceDN/>
        <w:bidi w:val="0"/>
        <w:adjustRightInd/>
        <w:snapToGrid/>
        <w:spacing w:line="420" w:lineRule="exact"/>
        <w:ind w:right="958" w:firstLine="6720" w:firstLineChars="2800"/>
        <w:textAlignment w:val="auto"/>
        <w:rPr>
          <w:rFonts w:hint="eastAsia" w:ascii="宋体" w:hAnsi="宋体" w:eastAsia="宋体"/>
          <w:color w:val="auto"/>
          <w:kern w:val="2"/>
          <w:szCs w:val="24"/>
          <w:highlight w:val="none"/>
        </w:rPr>
      </w:pPr>
    </w:p>
    <w:p>
      <w:pPr>
        <w:keepNext w:val="0"/>
        <w:keepLines w:val="0"/>
        <w:pageBreakBefore w:val="0"/>
        <w:widowControl/>
        <w:kinsoku/>
        <w:wordWrap/>
        <w:overflowPunct/>
        <w:topLinePunct w:val="0"/>
        <w:autoSpaceDE/>
        <w:autoSpaceDN/>
        <w:bidi w:val="0"/>
        <w:adjustRightInd/>
        <w:snapToGrid/>
        <w:spacing w:line="420" w:lineRule="exact"/>
        <w:ind w:right="958" w:firstLine="6720" w:firstLineChars="2800"/>
        <w:textAlignment w:val="auto"/>
        <w:rPr>
          <w:b/>
          <w:color w:val="auto"/>
          <w:sz w:val="28"/>
          <w:szCs w:val="28"/>
          <w:highlight w:val="none"/>
        </w:rPr>
      </w:pPr>
      <w:r>
        <w:rPr>
          <w:rFonts w:hint="eastAsia" w:ascii="宋体" w:hAnsi="宋体" w:eastAsia="宋体"/>
          <w:color w:val="auto"/>
          <w:kern w:val="2"/>
          <w:szCs w:val="24"/>
          <w:highlight w:val="none"/>
        </w:rPr>
        <w:t>年</w:t>
      </w:r>
      <w:r>
        <w:rPr>
          <w:rFonts w:ascii="宋体" w:hAnsi="宋体" w:eastAsia="宋体"/>
          <w:color w:val="auto"/>
          <w:kern w:val="2"/>
          <w:szCs w:val="24"/>
          <w:highlight w:val="none"/>
        </w:rPr>
        <w:t xml:space="preserve">    </w:t>
      </w:r>
      <w:r>
        <w:rPr>
          <w:rFonts w:hint="eastAsia" w:ascii="宋体" w:hAnsi="宋体" w:eastAsia="宋体"/>
          <w:color w:val="auto"/>
          <w:kern w:val="2"/>
          <w:szCs w:val="24"/>
          <w:highlight w:val="none"/>
        </w:rPr>
        <w:t xml:space="preserve">月 </w:t>
      </w:r>
      <w:r>
        <w:rPr>
          <w:rFonts w:ascii="宋体" w:hAnsi="宋体" w:eastAsia="宋体"/>
          <w:color w:val="auto"/>
          <w:kern w:val="2"/>
          <w:szCs w:val="24"/>
          <w:highlight w:val="none"/>
        </w:rPr>
        <w:t xml:space="preserve">  </w:t>
      </w:r>
      <w:r>
        <w:rPr>
          <w:rFonts w:hint="eastAsia" w:ascii="宋体" w:hAnsi="宋体" w:eastAsia="宋体"/>
          <w:color w:val="auto"/>
          <w:kern w:val="2"/>
          <w:szCs w:val="24"/>
          <w:highlight w:val="none"/>
        </w:rPr>
        <w:t xml:space="preserve"> 日</w:t>
      </w:r>
    </w:p>
    <w:p>
      <w:pPr>
        <w:ind w:left="0" w:leftChars="0" w:firstLine="0" w:firstLineChars="0"/>
        <w:jc w:val="center"/>
        <w:rPr>
          <w:b/>
          <w:color w:val="auto"/>
          <w:sz w:val="32"/>
          <w:szCs w:val="32"/>
          <w:highlight w:val="none"/>
        </w:rPr>
      </w:pPr>
      <w:r>
        <w:rPr>
          <w:rFonts w:hint="eastAsia"/>
          <w:b/>
          <w:color w:val="auto"/>
          <w:sz w:val="44"/>
          <w:szCs w:val="44"/>
          <w:highlight w:val="none"/>
        </w:rPr>
        <w:br w:type="page"/>
      </w:r>
      <w:r>
        <w:rPr>
          <w:rFonts w:hint="eastAsia"/>
          <w:b/>
          <w:color w:val="auto"/>
          <w:sz w:val="44"/>
          <w:szCs w:val="44"/>
          <w:highlight w:val="none"/>
        </w:rPr>
        <w:t>钢材采购</w:t>
      </w:r>
      <w:r>
        <w:rPr>
          <w:rFonts w:hint="eastAsia"/>
          <w:b/>
          <w:color w:val="auto"/>
          <w:sz w:val="44"/>
          <w:szCs w:val="44"/>
          <w:highlight w:val="none"/>
          <w:lang w:eastAsia="zh-CN"/>
        </w:rPr>
        <w:t>（</w:t>
      </w:r>
      <w:r>
        <w:rPr>
          <w:rFonts w:hint="eastAsia"/>
          <w:b/>
          <w:color w:val="auto"/>
          <w:sz w:val="44"/>
          <w:szCs w:val="44"/>
          <w:highlight w:val="none"/>
          <w:lang w:val="en-US" w:eastAsia="zh-CN"/>
        </w:rPr>
        <w:t>第一批</w:t>
      </w:r>
      <w:r>
        <w:rPr>
          <w:rFonts w:hint="eastAsia"/>
          <w:b/>
          <w:color w:val="auto"/>
          <w:sz w:val="44"/>
          <w:szCs w:val="44"/>
          <w:highlight w:val="none"/>
          <w:lang w:eastAsia="zh-CN"/>
        </w:rPr>
        <w:t>）</w:t>
      </w:r>
      <w:r>
        <w:rPr>
          <w:rFonts w:hint="eastAsia"/>
          <w:b/>
          <w:color w:val="auto"/>
          <w:sz w:val="44"/>
          <w:szCs w:val="44"/>
          <w:highlight w:val="none"/>
        </w:rPr>
        <w:t>合同</w:t>
      </w:r>
    </w:p>
    <w:p>
      <w:pPr>
        <w:ind w:left="0" w:leftChars="0" w:firstLine="0" w:firstLineChars="0"/>
        <w:jc w:val="center"/>
        <w:rPr>
          <w:rFonts w:hint="default"/>
          <w:b/>
          <w:color w:val="auto"/>
          <w:sz w:val="32"/>
          <w:szCs w:val="32"/>
          <w:highlight w:val="none"/>
          <w:lang w:val="en-US"/>
        </w:rPr>
      </w:pPr>
      <w:r>
        <w:rPr>
          <w:rFonts w:hint="eastAsia"/>
          <w:bCs/>
          <w:color w:val="auto"/>
          <w:szCs w:val="21"/>
          <w:highlight w:val="none"/>
        </w:rPr>
        <w:t>合同编号</w:t>
      </w:r>
      <w:r>
        <w:rPr>
          <w:rFonts w:hint="eastAsia"/>
          <w:b/>
          <w:bCs/>
          <w:color w:val="auto"/>
          <w:szCs w:val="32"/>
          <w:highlight w:val="none"/>
        </w:rPr>
        <w:t>：</w:t>
      </w:r>
    </w:p>
    <w:p>
      <w:pPr>
        <w:spacing w:line="360" w:lineRule="auto"/>
        <w:ind w:left="1200" w:leftChars="200" w:hanging="720" w:hangingChars="300"/>
        <w:rPr>
          <w:color w:val="auto"/>
          <w:szCs w:val="21"/>
          <w:highlight w:val="none"/>
        </w:rPr>
      </w:pPr>
      <w:r>
        <w:rPr>
          <w:rFonts w:hint="eastAsia"/>
          <w:color w:val="auto"/>
          <w:szCs w:val="21"/>
          <w:highlight w:val="none"/>
        </w:rPr>
        <w:t>买方：江苏省水利建设工程有限公司</w:t>
      </w:r>
      <w:r>
        <w:rPr>
          <w:rFonts w:hint="eastAsia" w:ascii="宋体" w:hAnsi="宋体" w:eastAsia="宋体" w:cs="宋体-18030"/>
          <w:b/>
          <w:bCs/>
          <w:color w:val="auto"/>
          <w:szCs w:val="24"/>
          <w:highlight w:val="none"/>
          <w:u w:val="single"/>
        </w:rPr>
        <w:t>淮河入海水道二期滨海枢纽工程土建施工及设备安装</w:t>
      </w:r>
      <w:r>
        <w:rPr>
          <w:rFonts w:hint="eastAsia"/>
          <w:color w:val="auto"/>
          <w:szCs w:val="21"/>
          <w:highlight w:val="none"/>
        </w:rPr>
        <w:t>项目经理部（以下简称甲方）</w:t>
      </w:r>
    </w:p>
    <w:p>
      <w:pPr>
        <w:spacing w:line="360" w:lineRule="auto"/>
        <w:ind w:firstLine="480"/>
        <w:rPr>
          <w:color w:val="auto"/>
          <w:highlight w:val="none"/>
        </w:rPr>
      </w:pPr>
      <w:r>
        <w:rPr>
          <w:rFonts w:hint="eastAsia"/>
          <w:color w:val="auto"/>
          <w:szCs w:val="21"/>
          <w:highlight w:val="none"/>
        </w:rPr>
        <w:t>卖方：（注意：应填写对方营业执照上注册的全称）</w:t>
      </w:r>
      <w:r>
        <w:rPr>
          <w:rFonts w:hint="eastAsia"/>
          <w:color w:val="auto"/>
          <w:highlight w:val="none"/>
        </w:rPr>
        <w:t>（以下简称乙方）</w:t>
      </w:r>
    </w:p>
    <w:p>
      <w:pPr>
        <w:spacing w:line="360" w:lineRule="auto"/>
        <w:ind w:firstLine="480"/>
        <w:rPr>
          <w:color w:val="auto"/>
          <w:szCs w:val="21"/>
          <w:highlight w:val="none"/>
        </w:rPr>
      </w:pPr>
      <w:r>
        <w:rPr>
          <w:rFonts w:hint="eastAsia"/>
          <w:color w:val="auto"/>
          <w:szCs w:val="21"/>
          <w:highlight w:val="none"/>
        </w:rPr>
        <w:t>甲乙双方在平等、自愿、公平和诚实信用的基础上，根据《中华人民共和国民法典》及有关法律法规，就甲方向乙方采购钢材一事，达成本协议，供双方共同遵守。</w:t>
      </w:r>
    </w:p>
    <w:p>
      <w:pPr>
        <w:spacing w:line="360" w:lineRule="auto"/>
        <w:ind w:firstLine="480"/>
        <w:rPr>
          <w:bCs/>
          <w:color w:val="auto"/>
          <w:szCs w:val="21"/>
          <w:highlight w:val="none"/>
        </w:rPr>
      </w:pPr>
      <w:r>
        <w:rPr>
          <w:rFonts w:hint="eastAsia"/>
          <w:bCs/>
          <w:color w:val="auto"/>
          <w:szCs w:val="21"/>
          <w:highlight w:val="none"/>
        </w:rPr>
        <w:t>一、钢材供应工程概况：</w:t>
      </w:r>
    </w:p>
    <w:p>
      <w:pPr>
        <w:pStyle w:val="25"/>
        <w:spacing w:line="360" w:lineRule="auto"/>
        <w:ind w:firstLineChars="0"/>
        <w:rPr>
          <w:rFonts w:hint="eastAsia" w:eastAsia="宋体"/>
          <w:b w:val="0"/>
          <w:bCs w:val="0"/>
          <w:color w:val="auto"/>
          <w:spacing w:val="-6"/>
          <w:kern w:val="0"/>
          <w:sz w:val="24"/>
          <w:szCs w:val="21"/>
          <w:highlight w:val="none"/>
          <w:lang w:eastAsia="zh-CN"/>
        </w:rPr>
      </w:pPr>
      <w:r>
        <w:rPr>
          <w:rFonts w:hint="eastAsia"/>
          <w:color w:val="auto"/>
          <w:kern w:val="0"/>
          <w:sz w:val="24"/>
          <w:szCs w:val="21"/>
          <w:highlight w:val="none"/>
        </w:rPr>
        <w:t>1、工程名称：</w:t>
      </w:r>
      <w:r>
        <w:rPr>
          <w:rFonts w:hint="eastAsia" w:ascii="宋体" w:hAnsi="宋体" w:eastAsia="宋体" w:cs="宋体-18030"/>
          <w:b/>
          <w:bCs/>
          <w:color w:val="auto"/>
          <w:szCs w:val="24"/>
          <w:highlight w:val="none"/>
          <w:u w:val="single"/>
        </w:rPr>
        <w:t>淮河入海水道二期滨海枢纽工程土建施工及设备安装</w:t>
      </w:r>
      <w:r>
        <w:rPr>
          <w:rFonts w:hint="eastAsia" w:ascii="宋体" w:hAnsi="宋体" w:cs="宋体-18030"/>
          <w:b w:val="0"/>
          <w:bCs w:val="0"/>
          <w:color w:val="auto"/>
          <w:spacing w:val="-6"/>
          <w:sz w:val="24"/>
          <w:szCs w:val="32"/>
          <w:highlight w:val="none"/>
          <w:u w:val="none"/>
          <w:lang w:eastAsia="zh-CN"/>
        </w:rPr>
        <w:t>。</w:t>
      </w:r>
    </w:p>
    <w:p>
      <w:pPr>
        <w:widowControl w:val="0"/>
        <w:spacing w:line="360" w:lineRule="auto"/>
        <w:ind w:firstLine="420" w:firstLineChars="0"/>
        <w:jc w:val="both"/>
        <w:rPr>
          <w:color w:val="auto"/>
          <w:szCs w:val="21"/>
          <w:highlight w:val="none"/>
        </w:rPr>
      </w:pPr>
      <w:r>
        <w:rPr>
          <w:rFonts w:hint="eastAsia"/>
          <w:color w:val="auto"/>
          <w:szCs w:val="21"/>
          <w:highlight w:val="none"/>
        </w:rPr>
        <w:t>2、供货期限：预计在2024年</w:t>
      </w:r>
      <w:r>
        <w:rPr>
          <w:rFonts w:hint="eastAsia"/>
          <w:color w:val="auto"/>
          <w:szCs w:val="21"/>
          <w:highlight w:val="none"/>
          <w:lang w:val="en-US" w:eastAsia="zh-CN"/>
        </w:rPr>
        <w:t>5</w:t>
      </w:r>
      <w:r>
        <w:rPr>
          <w:rFonts w:hint="eastAsia"/>
          <w:color w:val="auto"/>
          <w:szCs w:val="21"/>
          <w:highlight w:val="none"/>
        </w:rPr>
        <w:t>月至202</w:t>
      </w:r>
      <w:r>
        <w:rPr>
          <w:rFonts w:hint="eastAsia"/>
          <w:color w:val="auto"/>
          <w:szCs w:val="21"/>
          <w:highlight w:val="none"/>
          <w:lang w:val="en-US" w:eastAsia="zh-CN"/>
        </w:rPr>
        <w:t>4</w:t>
      </w:r>
      <w:r>
        <w:rPr>
          <w:rFonts w:hint="eastAsia"/>
          <w:color w:val="auto"/>
          <w:szCs w:val="21"/>
          <w:highlight w:val="none"/>
        </w:rPr>
        <w:t>年</w:t>
      </w:r>
      <w:r>
        <w:rPr>
          <w:rFonts w:hint="eastAsia"/>
          <w:color w:val="auto"/>
          <w:szCs w:val="21"/>
          <w:highlight w:val="none"/>
          <w:lang w:val="en-US" w:eastAsia="zh-CN"/>
        </w:rPr>
        <w:t>6</w:t>
      </w:r>
      <w:r>
        <w:rPr>
          <w:rFonts w:hint="eastAsia"/>
          <w:color w:val="auto"/>
          <w:szCs w:val="21"/>
          <w:highlight w:val="none"/>
        </w:rPr>
        <w:t>月供应，具体供货开始和结束期限以项目部根据工期计划提前3天出具的“订货通知单”通知为准。</w:t>
      </w:r>
    </w:p>
    <w:p>
      <w:pPr>
        <w:pStyle w:val="25"/>
        <w:spacing w:line="360" w:lineRule="auto"/>
        <w:ind w:firstLineChars="0"/>
        <w:rPr>
          <w:rFonts w:hint="eastAsia" w:eastAsia="宋体"/>
          <w:color w:val="auto"/>
          <w:spacing w:val="-6"/>
          <w:kern w:val="0"/>
          <w:sz w:val="24"/>
          <w:szCs w:val="21"/>
          <w:highlight w:val="none"/>
          <w:lang w:eastAsia="zh-CN"/>
        </w:rPr>
      </w:pPr>
      <w:r>
        <w:rPr>
          <w:rFonts w:hint="eastAsia"/>
          <w:color w:val="auto"/>
          <w:kern w:val="0"/>
          <w:sz w:val="24"/>
          <w:szCs w:val="21"/>
          <w:highlight w:val="none"/>
        </w:rPr>
        <w:t>3、供货地点：</w:t>
      </w:r>
      <w:r>
        <w:rPr>
          <w:rFonts w:hint="eastAsia" w:ascii="宋体" w:hAnsi="宋体" w:cs="宋体-18030"/>
          <w:b w:val="0"/>
          <w:bCs w:val="0"/>
          <w:color w:val="auto"/>
          <w:spacing w:val="-6"/>
          <w:sz w:val="24"/>
          <w:szCs w:val="32"/>
          <w:highlight w:val="none"/>
          <w:u w:val="none"/>
        </w:rPr>
        <w:t>江苏省水利建设工程有限公司</w:t>
      </w:r>
      <w:r>
        <w:rPr>
          <w:rFonts w:hint="eastAsia" w:ascii="宋体" w:hAnsi="宋体" w:eastAsia="宋体" w:cs="宋体-18030"/>
          <w:b/>
          <w:bCs/>
          <w:color w:val="auto"/>
          <w:szCs w:val="24"/>
          <w:highlight w:val="none"/>
          <w:u w:val="single"/>
        </w:rPr>
        <w:t>淮河入海水道二期滨海枢纽工程土建施工及设备安装</w:t>
      </w:r>
      <w:r>
        <w:rPr>
          <w:rFonts w:hint="eastAsia" w:ascii="宋体" w:hAnsi="宋体" w:cs="宋体-18030"/>
          <w:b w:val="0"/>
          <w:bCs w:val="0"/>
          <w:color w:val="auto"/>
          <w:spacing w:val="-6"/>
          <w:sz w:val="24"/>
          <w:szCs w:val="32"/>
          <w:highlight w:val="none"/>
          <w:u w:val="none"/>
        </w:rPr>
        <w:t>项目经理部施工段</w:t>
      </w:r>
      <w:r>
        <w:rPr>
          <w:rFonts w:hint="eastAsia" w:ascii="宋体" w:hAnsi="宋体" w:cs="宋体-18030"/>
          <w:b/>
          <w:bCs/>
          <w:color w:val="auto"/>
          <w:spacing w:val="-6"/>
          <w:sz w:val="24"/>
          <w:szCs w:val="32"/>
          <w:highlight w:val="none"/>
          <w:u w:val="none"/>
          <w:lang w:eastAsia="zh-CN"/>
        </w:rPr>
        <w:t>。</w:t>
      </w:r>
    </w:p>
    <w:p>
      <w:pPr>
        <w:pStyle w:val="25"/>
        <w:spacing w:line="360" w:lineRule="auto"/>
        <w:ind w:left="420" w:firstLine="0" w:firstLineChars="0"/>
        <w:rPr>
          <w:bCs/>
          <w:color w:val="auto"/>
          <w:kern w:val="0"/>
          <w:sz w:val="24"/>
          <w:szCs w:val="21"/>
          <w:highlight w:val="none"/>
        </w:rPr>
      </w:pPr>
      <w:r>
        <w:rPr>
          <w:rFonts w:hint="eastAsia"/>
          <w:bCs/>
          <w:color w:val="auto"/>
          <w:kern w:val="0"/>
          <w:sz w:val="24"/>
          <w:szCs w:val="21"/>
          <w:highlight w:val="none"/>
        </w:rPr>
        <w:t>二、钢材供应要求：</w:t>
      </w:r>
    </w:p>
    <w:p>
      <w:pPr>
        <w:numPr>
          <w:ilvl w:val="0"/>
          <w:numId w:val="1"/>
        </w:numPr>
        <w:spacing w:line="360" w:lineRule="auto"/>
        <w:ind w:firstLine="480"/>
        <w:rPr>
          <w:color w:val="auto"/>
          <w:szCs w:val="21"/>
          <w:highlight w:val="none"/>
        </w:rPr>
      </w:pPr>
      <w:r>
        <w:rPr>
          <w:rFonts w:hint="eastAsia"/>
          <w:color w:val="auto"/>
          <w:szCs w:val="21"/>
          <w:highlight w:val="none"/>
        </w:rPr>
        <w:t>甲方向乙方采购的钢材具体品种、规格、厂家、产地、数量</w:t>
      </w:r>
      <w:r>
        <w:rPr>
          <w:rFonts w:hint="eastAsia"/>
          <w:color w:val="auto"/>
          <w:szCs w:val="21"/>
          <w:highlight w:val="none"/>
          <w:lang w:val="en-US" w:eastAsia="zh-CN"/>
        </w:rPr>
        <w:t>和质量要求</w:t>
      </w:r>
      <w:r>
        <w:rPr>
          <w:rFonts w:hint="eastAsia"/>
          <w:color w:val="auto"/>
          <w:szCs w:val="21"/>
          <w:highlight w:val="none"/>
        </w:rPr>
        <w:t>如下：</w:t>
      </w:r>
    </w:p>
    <w:tbl>
      <w:tblPr>
        <w:tblStyle w:val="12"/>
        <w:tblW w:w="9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629"/>
        <w:gridCol w:w="2315"/>
        <w:gridCol w:w="1155"/>
        <w:gridCol w:w="649"/>
        <w:gridCol w:w="1220"/>
        <w:gridCol w:w="1013"/>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品名</w:t>
            </w:r>
          </w:p>
        </w:tc>
        <w:tc>
          <w:tcPr>
            <w:tcW w:w="231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规格</w:t>
            </w:r>
          </w:p>
        </w:tc>
        <w:tc>
          <w:tcPr>
            <w:tcW w:w="115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品牌</w:t>
            </w:r>
          </w:p>
        </w:tc>
        <w:tc>
          <w:tcPr>
            <w:tcW w:w="649"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单位</w:t>
            </w:r>
          </w:p>
        </w:tc>
        <w:tc>
          <w:tcPr>
            <w:tcW w:w="122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暂定数量</w:t>
            </w:r>
          </w:p>
        </w:tc>
        <w:tc>
          <w:tcPr>
            <w:tcW w:w="101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基准价</w:t>
            </w:r>
          </w:p>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元/</w:t>
            </w:r>
            <w:r>
              <w:rPr>
                <w:rFonts w:hint="default" w:ascii="Times New Roman" w:hAnsi="Times New Roman" w:cs="Times New Roman"/>
                <w:color w:val="auto"/>
                <w:sz w:val="24"/>
                <w:szCs w:val="24"/>
                <w:highlight w:val="none"/>
                <w:lang w:val="en-US" w:eastAsia="zh-CN"/>
              </w:rPr>
              <w:t>吨）</w:t>
            </w:r>
          </w:p>
        </w:tc>
        <w:tc>
          <w:tcPr>
            <w:tcW w:w="15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ascii="宋体" w:hAnsi="宋体"/>
                <w:color w:val="auto"/>
                <w:highlight w:val="none"/>
              </w:rPr>
            </w:pPr>
            <w:r>
              <w:rPr>
                <w:rFonts w:ascii="宋体" w:hAnsi="宋体"/>
                <w:color w:val="auto"/>
                <w:highlight w:val="none"/>
              </w:rPr>
              <w:t>上下</w:t>
            </w:r>
            <w:r>
              <w:rPr>
                <w:rFonts w:hint="eastAsia" w:ascii="宋体" w:hAnsi="宋体"/>
                <w:color w:val="auto"/>
                <w:highlight w:val="none"/>
                <w:lang w:val="en-US" w:eastAsia="zh-CN"/>
              </w:rPr>
              <w:t>(</w:t>
            </w:r>
            <w:r>
              <w:rPr>
                <w:rFonts w:hint="eastAsia" w:ascii="宋体" w:hAnsi="宋体"/>
                <w:color w:val="auto"/>
                <w:highlight w:val="none"/>
              </w:rPr>
              <w:t>±</w:t>
            </w:r>
            <w:r>
              <w:rPr>
                <w:rFonts w:hint="eastAsia" w:ascii="宋体" w:hAnsi="宋体"/>
                <w:color w:val="auto"/>
                <w:highlight w:val="none"/>
                <w:lang w:val="en-US" w:eastAsia="zh-CN"/>
              </w:rPr>
              <w:t>)</w:t>
            </w:r>
            <w:r>
              <w:rPr>
                <w:rFonts w:ascii="宋体" w:hAnsi="宋体"/>
                <w:color w:val="auto"/>
                <w:highlight w:val="none"/>
              </w:rPr>
              <w:t>浮动</w:t>
            </w:r>
          </w:p>
          <w:p>
            <w:pPr>
              <w:keepNext w:val="0"/>
              <w:keepLines w:val="0"/>
              <w:pageBreakBefore w:val="0"/>
              <w:widowControl/>
              <w:kinsoku/>
              <w:wordWrap/>
              <w:overflowPunct/>
              <w:topLinePunct w:val="0"/>
              <w:autoSpaceDE/>
              <w:autoSpaceDN/>
              <w:bidi w:val="0"/>
              <w:adjustRightInd/>
              <w:snapToGrid/>
              <w:spacing w:line="280" w:lineRule="exact"/>
              <w:ind w:firstLine="0" w:firstLineChars="0"/>
              <w:jc w:val="center"/>
              <w:textAlignment w:val="auto"/>
              <w:rPr>
                <w:rFonts w:hint="default" w:ascii="Times New Roman" w:hAnsi="Times New Roman" w:eastAsia="宋体" w:cs="Times New Roman"/>
                <w:color w:val="auto"/>
                <w:sz w:val="24"/>
                <w:szCs w:val="24"/>
                <w:highlight w:val="none"/>
              </w:rPr>
            </w:pPr>
            <w:r>
              <w:rPr>
                <w:rFonts w:ascii="宋体" w:hAnsi="宋体"/>
                <w:color w:val="auto"/>
                <w:highlight w:val="none"/>
              </w:rPr>
              <w:t>金额（元/</w:t>
            </w:r>
            <w:r>
              <w:rPr>
                <w:rFonts w:hint="eastAsia" w:ascii="宋体" w:hAnsi="宋体"/>
                <w:color w:val="auto"/>
                <w:highlight w:val="none"/>
                <w:lang w:val="en-US" w:eastAsia="zh-CN"/>
              </w:rPr>
              <w:t>吨</w:t>
            </w:r>
            <w:r>
              <w:rPr>
                <w:rFonts w:ascii="宋体" w:hAnsi="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eastAsia="宋体" w:cs="Times New Roman"/>
                <w:color w:val="auto"/>
                <w:sz w:val="24"/>
                <w:szCs w:val="24"/>
                <w:highlight w:val="none"/>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eastAsia="宋体" w:cs="Times New Roman"/>
                <w:color w:val="auto"/>
                <w:sz w:val="24"/>
                <w:szCs w:val="24"/>
                <w:highlight w:val="none"/>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eastAsia="宋体" w:cs="Times New Roman"/>
                <w:color w:val="auto"/>
                <w:sz w:val="24"/>
                <w:szCs w:val="24"/>
                <w:highlight w:val="none"/>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kern w:val="2"/>
                <w:sz w:val="24"/>
                <w:szCs w:val="24"/>
                <w:highlight w:val="none"/>
                <w:lang w:val="en-US" w:eastAsia="zh-CN" w:bidi="ar-SA"/>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eastAsia="宋体" w:cs="Times New Roman"/>
                <w:color w:val="auto"/>
                <w:sz w:val="24"/>
                <w:szCs w:val="24"/>
                <w:highlight w:val="none"/>
              </w:rPr>
            </w:pP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lang w:val="en-US" w:eastAsia="zh-CN" w:bidi="ar-SA"/>
              </w:rPr>
            </w:pPr>
          </w:p>
        </w:tc>
        <w:tc>
          <w:tcPr>
            <w:tcW w:w="1013" w:type="dxa"/>
            <w:noWrap w:val="0"/>
            <w:vAlign w:val="center"/>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p>
        </w:tc>
        <w:tc>
          <w:tcPr>
            <w:tcW w:w="1528"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162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合 计</w:t>
            </w:r>
          </w:p>
        </w:tc>
        <w:tc>
          <w:tcPr>
            <w:tcW w:w="2315" w:type="dxa"/>
            <w:noWrap w:val="0"/>
            <w:vAlign w:val="center"/>
          </w:tcPr>
          <w:p>
            <w:pPr>
              <w:pStyle w:val="7"/>
              <w:keepNext w:val="0"/>
              <w:keepLines w:val="0"/>
              <w:pageBreakBefore w:val="0"/>
              <w:kinsoku/>
              <w:wordWrap/>
              <w:overflowPunct/>
              <w:topLinePunct w:val="0"/>
              <w:autoSpaceDE/>
              <w:autoSpaceDN/>
              <w:bidi w:val="0"/>
              <w:adjustRightInd/>
              <w:snapToGrid/>
              <w:spacing w:line="360" w:lineRule="exact"/>
              <w:rPr>
                <w:rFonts w:hint="default" w:ascii="Times New Roman" w:hAnsi="Times New Roman" w:eastAsia="宋体" w:cs="Times New Roman"/>
                <w:color w:val="auto"/>
                <w:sz w:val="24"/>
                <w:szCs w:val="24"/>
                <w:highlight w:val="none"/>
              </w:rPr>
            </w:pPr>
          </w:p>
        </w:tc>
        <w:tc>
          <w:tcPr>
            <w:tcW w:w="1155"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lang w:val="en-US" w:eastAsia="zh-CN" w:bidi="ar-SA"/>
              </w:rPr>
            </w:pPr>
          </w:p>
        </w:tc>
        <w:tc>
          <w:tcPr>
            <w:tcW w:w="649"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bidi="ar-SA"/>
              </w:rPr>
              <w:t>吨</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center"/>
              <w:rPr>
                <w:rFonts w:hint="default" w:ascii="Times New Roman" w:hAnsi="Times New Roman" w:eastAsia="宋体" w:cs="Times New Roman"/>
                <w:color w:val="auto"/>
                <w:sz w:val="24"/>
                <w:szCs w:val="24"/>
                <w:highlight w:val="none"/>
                <w:lang w:val="en-US" w:eastAsia="zh-CN"/>
              </w:rPr>
            </w:pPr>
          </w:p>
        </w:tc>
        <w:tc>
          <w:tcPr>
            <w:tcW w:w="1013" w:type="dxa"/>
            <w:noWrap w:val="0"/>
            <w:vAlign w:val="top"/>
          </w:tcPr>
          <w:p>
            <w:pPr>
              <w:keepNext w:val="0"/>
              <w:keepLines w:val="0"/>
              <w:pageBreakBefore w:val="0"/>
              <w:kinsoku/>
              <w:wordWrap/>
              <w:overflowPunct/>
              <w:topLinePunct w:val="0"/>
              <w:autoSpaceDE/>
              <w:autoSpaceDN/>
              <w:bidi w:val="0"/>
              <w:adjustRightInd/>
              <w:snapToGrid/>
              <w:spacing w:line="360" w:lineRule="exact"/>
              <w:ind w:left="0" w:leftChars="0" w:firstLine="0" w:firstLineChars="0"/>
              <w:jc w:val="center"/>
              <w:textAlignment w:val="center"/>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w:t>
            </w:r>
          </w:p>
        </w:tc>
        <w:tc>
          <w:tcPr>
            <w:tcW w:w="1528" w:type="dxa"/>
            <w:noWrap w:val="0"/>
            <w:vAlign w:val="top"/>
          </w:tcPr>
          <w:p>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2、价格：上述为暂定价格，双方实际结算时，</w:t>
      </w:r>
      <w:r>
        <w:rPr>
          <w:rFonts w:hint="default" w:ascii="Times New Roman" w:hAnsi="Times New Roman" w:eastAsia="宋体" w:cs="Times New Roman"/>
          <w:b/>
          <w:bCs w:val="0"/>
          <w:color w:val="auto"/>
          <w:szCs w:val="21"/>
          <w:highlight w:val="none"/>
        </w:rPr>
        <w:t>①HPB300直径</w:t>
      </w:r>
      <w:r>
        <w:rPr>
          <w:rFonts w:hint="eastAsia" w:ascii="Times New Roman" w:hAnsi="Times New Roman" w:eastAsia="宋体" w:cs="Times New Roman"/>
          <w:b/>
          <w:bCs w:val="0"/>
          <w:color w:val="auto"/>
          <w:szCs w:val="21"/>
          <w:highlight w:val="none"/>
          <w:lang w:val="en-US" w:eastAsia="zh-CN"/>
        </w:rPr>
        <w:t>为</w:t>
      </w:r>
      <w:r>
        <w:rPr>
          <w:rFonts w:hint="default" w:ascii="Times New Roman" w:hAnsi="Times New Roman" w:eastAsia="宋体" w:cs="Times New Roman"/>
          <w:b/>
          <w:bCs w:val="0"/>
          <w:color w:val="auto"/>
          <w:szCs w:val="21"/>
          <w:highlight w:val="none"/>
        </w:rPr>
        <w:t>16mm</w:t>
      </w:r>
      <w:r>
        <w:rPr>
          <w:rFonts w:hint="eastAsia" w:ascii="Times New Roman" w:hAnsi="Times New Roman" w:eastAsia="宋体" w:cs="Times New Roman"/>
          <w:b/>
          <w:bCs w:val="0"/>
          <w:color w:val="auto"/>
          <w:szCs w:val="21"/>
          <w:highlight w:val="none"/>
          <w:lang w:val="en-US" w:eastAsia="zh-CN"/>
        </w:rPr>
        <w:t>的</w:t>
      </w:r>
      <w:r>
        <w:rPr>
          <w:rFonts w:hint="eastAsia" w:ascii="宋体" w:hAnsi="宋体" w:eastAsia="宋体"/>
          <w:b/>
          <w:bCs w:val="0"/>
          <w:color w:val="auto"/>
          <w:szCs w:val="21"/>
          <w:highlight w:val="none"/>
        </w:rPr>
        <w:t>热轧</w:t>
      </w:r>
      <w:r>
        <w:rPr>
          <w:rFonts w:hint="eastAsia" w:ascii="宋体" w:hAnsi="宋体" w:eastAsia="宋体"/>
          <w:b/>
          <w:bCs w:val="0"/>
          <w:color w:val="auto"/>
          <w:szCs w:val="21"/>
          <w:highlight w:val="none"/>
          <w:lang w:val="en-US" w:eastAsia="zh-CN"/>
        </w:rPr>
        <w:t>光圆</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永钢</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lang w:val="en-US" w:eastAsia="zh-CN"/>
        </w:rPr>
        <w:t>该</w:t>
      </w:r>
      <w:r>
        <w:rPr>
          <w:rFonts w:hint="eastAsia" w:ascii="宋体" w:hAnsi="宋体" w:eastAsia="宋体"/>
          <w:b/>
          <w:bCs/>
          <w:color w:val="auto"/>
          <w:szCs w:val="21"/>
          <w:highlight w:val="none"/>
        </w:rPr>
        <w:t>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b/>
          <w:color w:val="auto"/>
          <w:szCs w:val="21"/>
          <w:highlight w:val="none"/>
          <w:lang w:eastAsia="zh-CN"/>
        </w:rPr>
        <w:t>；</w:t>
      </w:r>
      <w:r>
        <w:rPr>
          <w:rFonts w:hint="default" w:ascii="Times New Roman" w:hAnsi="Times New Roman" w:eastAsia="宋体" w:cs="Times New Roman"/>
          <w:b/>
          <w:color w:val="auto"/>
          <w:szCs w:val="21"/>
          <w:highlight w:val="none"/>
          <w:lang w:eastAsia="zh-CN"/>
        </w:rPr>
        <w:t>②</w:t>
      </w:r>
      <w:r>
        <w:rPr>
          <w:rFonts w:hint="eastAsia" w:ascii="Times New Roman" w:hAnsi="Times New Roman" w:eastAsia="宋体" w:cs="Times New Roman"/>
          <w:b/>
          <w:color w:val="auto"/>
          <w:szCs w:val="21"/>
          <w:highlight w:val="none"/>
          <w:lang w:val="en-US" w:eastAsia="zh-CN"/>
        </w:rPr>
        <w:t>除</w:t>
      </w:r>
      <w:r>
        <w:rPr>
          <w:rFonts w:hint="eastAsia" w:ascii="宋体" w:hAnsi="宋体" w:eastAsia="宋体"/>
          <w:b/>
          <w:bCs w:val="0"/>
          <w:color w:val="auto"/>
          <w:szCs w:val="21"/>
          <w:highlight w:val="none"/>
          <w:lang w:val="en-US" w:eastAsia="zh-CN"/>
        </w:rPr>
        <w:t>HPB300直径为16mm以外的各直径规格</w:t>
      </w:r>
      <w:r>
        <w:rPr>
          <w:rFonts w:hint="eastAsia" w:ascii="宋体" w:hAnsi="宋体" w:eastAsia="宋体"/>
          <w:b/>
          <w:bCs w:val="0"/>
          <w:color w:val="auto"/>
          <w:szCs w:val="21"/>
          <w:highlight w:val="none"/>
        </w:rPr>
        <w:t>钢筋</w:t>
      </w:r>
      <w:r>
        <w:rPr>
          <w:rFonts w:hint="eastAsia" w:ascii="宋体" w:hAnsi="宋体" w:eastAsia="宋体"/>
          <w:b/>
          <w:color w:val="auto"/>
          <w:szCs w:val="21"/>
          <w:highlight w:val="none"/>
        </w:rPr>
        <w:t>最终结算</w:t>
      </w:r>
      <w:r>
        <w:rPr>
          <w:rFonts w:hint="eastAsia" w:ascii="宋体" w:hAnsi="宋体"/>
          <w:b/>
          <w:color w:val="auto"/>
          <w:szCs w:val="21"/>
          <w:highlight w:val="none"/>
          <w:lang w:val="en-US" w:eastAsia="zh-CN"/>
        </w:rPr>
        <w:t>单价</w:t>
      </w:r>
      <w:r>
        <w:rPr>
          <w:rFonts w:hint="eastAsia" w:ascii="宋体" w:hAnsi="宋体" w:eastAsia="宋体"/>
          <w:b/>
          <w:color w:val="auto"/>
          <w:szCs w:val="21"/>
          <w:highlight w:val="none"/>
        </w:rPr>
        <w:t>（元/吨）=订货通知单当天“我的钢铁网”第一次发布的</w:t>
      </w:r>
      <w:r>
        <w:rPr>
          <w:rFonts w:hint="eastAsia" w:ascii="宋体" w:hAnsi="宋体" w:eastAsia="宋体"/>
          <w:b/>
          <w:color w:val="auto"/>
          <w:szCs w:val="21"/>
          <w:highlight w:val="none"/>
          <w:u w:val="single"/>
        </w:rPr>
        <w:t xml:space="preserve"> </w:t>
      </w:r>
      <w:r>
        <w:rPr>
          <w:rFonts w:hint="eastAsia" w:ascii="宋体" w:hAnsi="宋体"/>
          <w:b/>
          <w:color w:val="auto"/>
          <w:szCs w:val="21"/>
          <w:highlight w:val="none"/>
          <w:u w:val="single"/>
          <w:lang w:val="en-US" w:eastAsia="zh-CN"/>
        </w:rPr>
        <w:t>中天</w:t>
      </w:r>
      <w:r>
        <w:rPr>
          <w:rFonts w:hint="eastAsia" w:ascii="宋体" w:hAnsi="宋体" w:eastAsia="宋体"/>
          <w:b/>
          <w:color w:val="auto"/>
          <w:szCs w:val="21"/>
          <w:highlight w:val="none"/>
          <w:u w:val="single"/>
        </w:rPr>
        <w:t xml:space="preserve"> </w:t>
      </w:r>
      <w:r>
        <w:rPr>
          <w:rFonts w:hint="eastAsia" w:ascii="宋体" w:hAnsi="宋体" w:eastAsia="宋体"/>
          <w:b/>
          <w:bCs/>
          <w:color w:val="auto"/>
          <w:szCs w:val="21"/>
          <w:highlight w:val="none"/>
        </w:rPr>
        <w:t>各种规格钢</w:t>
      </w:r>
      <w:r>
        <w:rPr>
          <w:rFonts w:hint="eastAsia" w:ascii="宋体" w:hAnsi="宋体" w:eastAsia="宋体"/>
          <w:b/>
          <w:color w:val="auto"/>
          <w:szCs w:val="21"/>
          <w:highlight w:val="none"/>
        </w:rPr>
        <w:t>材的上海</w:t>
      </w:r>
      <w:r>
        <w:rPr>
          <w:rFonts w:hint="eastAsia" w:ascii="宋体" w:hAnsi="宋体"/>
          <w:b/>
          <w:color w:val="auto"/>
          <w:szCs w:val="21"/>
          <w:highlight w:val="none"/>
          <w:lang w:val="en-US" w:eastAsia="zh-CN"/>
        </w:rPr>
        <w:t>地区</w:t>
      </w:r>
      <w:r>
        <w:rPr>
          <w:rFonts w:hint="eastAsia" w:ascii="宋体" w:hAnsi="宋体" w:eastAsia="宋体"/>
          <w:b/>
          <w:color w:val="auto"/>
          <w:szCs w:val="21"/>
          <w:highlight w:val="none"/>
        </w:rPr>
        <w:t>价格±上下浮价</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我的钢铁网”网址：</w:t>
      </w:r>
      <w:r>
        <w:rPr>
          <w:rFonts w:hint="default" w:ascii="Times New Roman" w:hAnsi="Times New Roman" w:eastAsia="宋体" w:cs="Times New Roman"/>
          <w:color w:val="auto"/>
          <w:szCs w:val="21"/>
          <w:highlight w:val="none"/>
        </w:rPr>
        <w:t>https://www.mysteel.com</w:t>
      </w:r>
      <w:r>
        <w:rPr>
          <w:rFonts w:hint="eastAsia" w:cs="Times New Roman"/>
          <w:color w:val="auto"/>
          <w:szCs w:val="21"/>
          <w:highlight w:val="none"/>
          <w:lang w:eastAsia="zh-CN"/>
        </w:rPr>
        <w:t>，“订货通知单”须注明各品牌规格钢材当天的网牌价</w:t>
      </w:r>
      <w:r>
        <w:rPr>
          <w:rFonts w:hint="eastAsia" w:ascii="Times New Roman" w:hAnsi="Times New Roman" w:eastAsia="宋体" w:cs="Times New Roman"/>
          <w:color w:val="auto"/>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szCs w:val="21"/>
          <w:highlight w:val="none"/>
        </w:rPr>
      </w:pPr>
      <w:r>
        <w:rPr>
          <w:rFonts w:hint="eastAsia"/>
          <w:color w:val="auto"/>
          <w:szCs w:val="21"/>
          <w:highlight w:val="none"/>
        </w:rPr>
        <w:t>3、</w:t>
      </w:r>
      <w:bookmarkStart w:id="5" w:name="_Hlk109253850"/>
      <w:r>
        <w:rPr>
          <w:rFonts w:hint="eastAsia"/>
          <w:color w:val="auto"/>
          <w:szCs w:val="21"/>
          <w:highlight w:val="none"/>
        </w:rPr>
        <w:t>乙方供应每批次钢材的数量及规格须以甲方的书面通知为准</w:t>
      </w:r>
      <w:bookmarkEnd w:id="5"/>
      <w:r>
        <w:rPr>
          <w:rFonts w:hint="eastAsia"/>
          <w:color w:val="auto"/>
          <w:szCs w:val="21"/>
          <w:highlight w:val="none"/>
        </w:rPr>
        <w:t>，双方钢材的结算数量以甲方实际收到的合格钢材数量为准。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szCs w:val="21"/>
          <w:highlight w:val="none"/>
        </w:rPr>
      </w:pPr>
      <w:r>
        <w:rPr>
          <w:rFonts w:hint="eastAsia"/>
          <w:color w:val="auto"/>
          <w:szCs w:val="21"/>
          <w:highlight w:val="none"/>
        </w:rPr>
        <w:t>4、钢材的尺寸要求：</w:t>
      </w:r>
      <w:r>
        <w:rPr>
          <w:rFonts w:hint="eastAsia"/>
          <w:b/>
          <w:bCs/>
          <w:color w:val="auto"/>
          <w:szCs w:val="21"/>
          <w:highlight w:val="none"/>
        </w:rPr>
        <w:t>钢筋长度为12m或9m</w:t>
      </w:r>
      <w:r>
        <w:rPr>
          <w:rFonts w:hint="eastAsia"/>
          <w:b/>
          <w:bCs/>
          <w:color w:val="auto"/>
          <w:szCs w:val="21"/>
          <w:highlight w:val="none"/>
          <w:lang w:eastAsia="zh-CN"/>
        </w:rPr>
        <w:t>，</w:t>
      </w:r>
      <w:r>
        <w:rPr>
          <w:rFonts w:hint="eastAsia"/>
          <w:b/>
          <w:bCs/>
          <w:color w:val="auto"/>
          <w:szCs w:val="21"/>
          <w:highlight w:val="none"/>
          <w:lang w:val="en-US" w:eastAsia="zh-CN"/>
        </w:rPr>
        <w:t>且均不加价</w:t>
      </w:r>
      <w:r>
        <w:rPr>
          <w:rFonts w:hint="eastAsia"/>
          <w:color w:val="auto"/>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szCs w:val="21"/>
          <w:highlight w:val="none"/>
        </w:rPr>
      </w:pPr>
      <w:r>
        <w:rPr>
          <w:color w:val="auto"/>
          <w:szCs w:val="21"/>
          <w:highlight w:val="none"/>
        </w:rPr>
        <w:t>5</w:t>
      </w:r>
      <w:r>
        <w:rPr>
          <w:rFonts w:hint="eastAsia"/>
          <w:color w:val="auto"/>
          <w:szCs w:val="21"/>
          <w:highlight w:val="none"/>
        </w:rPr>
        <w:t>、以上双方确定的价格为乙方送货到甲方工地指定地点的价格，该价格已</w:t>
      </w:r>
      <w:r>
        <w:rPr>
          <w:rFonts w:hint="eastAsia" w:ascii="宋体" w:hAnsi="宋体" w:eastAsia="宋体" w:cs="宋体"/>
          <w:color w:val="auto"/>
          <w:highlight w:val="none"/>
        </w:rPr>
        <w:t>包含货款、运输费、管理费、</w:t>
      </w:r>
      <w:r>
        <w:rPr>
          <w:rFonts w:ascii="宋体" w:hAnsi="宋体" w:eastAsia="宋体" w:cs="宋体"/>
          <w:color w:val="auto"/>
          <w:highlight w:val="none"/>
        </w:rPr>
        <w:t>利润、</w:t>
      </w:r>
      <w:r>
        <w:rPr>
          <w:rFonts w:hint="eastAsia" w:ascii="宋体" w:hAnsi="宋体" w:eastAsia="宋体" w:cs="宋体"/>
          <w:color w:val="auto"/>
          <w:highlight w:val="none"/>
        </w:rPr>
        <w:t>税费</w:t>
      </w:r>
      <w:r>
        <w:rPr>
          <w:rFonts w:ascii="宋体" w:hAnsi="宋体" w:eastAsia="宋体" w:cs="宋体"/>
          <w:color w:val="auto"/>
          <w:highlight w:val="none"/>
        </w:rPr>
        <w:t>，以及钢材装车、运输</w:t>
      </w:r>
      <w:r>
        <w:rPr>
          <w:rFonts w:hint="eastAsia" w:ascii="宋体" w:hAnsi="宋体" w:eastAsia="宋体" w:cs="宋体"/>
          <w:color w:val="auto"/>
          <w:highlight w:val="none"/>
        </w:rPr>
        <w:t>、卸车</w:t>
      </w:r>
      <w:r>
        <w:rPr>
          <w:rFonts w:ascii="宋体" w:hAnsi="宋体" w:eastAsia="宋体" w:cs="宋体"/>
          <w:color w:val="auto"/>
          <w:highlight w:val="none"/>
        </w:rPr>
        <w:t>等全过程的安全保险、措施、以及如发生安全事故导致的赔偿</w:t>
      </w:r>
      <w:r>
        <w:rPr>
          <w:rFonts w:hint="eastAsia"/>
          <w:color w:val="auto"/>
          <w:szCs w:val="21"/>
          <w:highlight w:val="none"/>
        </w:rPr>
        <w:t>等全部费用，乙方不得以任何理由额外索取费用。乙方向甲方提供税率为</w:t>
      </w:r>
      <w:r>
        <w:rPr>
          <w:color w:val="auto"/>
          <w:szCs w:val="21"/>
          <w:highlight w:val="none"/>
        </w:rPr>
        <w:t>1</w:t>
      </w:r>
      <w:r>
        <w:rPr>
          <w:rFonts w:hint="eastAsia"/>
          <w:color w:val="auto"/>
          <w:szCs w:val="21"/>
          <w:highlight w:val="none"/>
        </w:rPr>
        <w:t>3</w:t>
      </w:r>
      <w:r>
        <w:rPr>
          <w:color w:val="auto"/>
          <w:szCs w:val="21"/>
          <w:highlight w:val="none"/>
        </w:rPr>
        <w:t>%</w:t>
      </w:r>
      <w:r>
        <w:rPr>
          <w:rFonts w:hint="eastAsia"/>
          <w:color w:val="auto"/>
          <w:szCs w:val="21"/>
          <w:highlight w:val="none"/>
        </w:rPr>
        <w:t>的增值税专用发票，</w:t>
      </w:r>
      <w:r>
        <w:rPr>
          <w:rFonts w:hint="eastAsia" w:ascii="宋体" w:hAnsi="宋体"/>
          <w:color w:val="auto"/>
          <w:szCs w:val="21"/>
          <w:highlight w:val="none"/>
        </w:rPr>
        <w:t>甲方开票信息和乙方收款信息如下</w:t>
      </w:r>
      <w:r>
        <w:rPr>
          <w:rFonts w:hint="eastAsia"/>
          <w:color w:val="auto"/>
          <w:szCs w:val="21"/>
          <w:highlight w:val="none"/>
        </w:rPr>
        <w:t>：</w:t>
      </w:r>
    </w:p>
    <w:tbl>
      <w:tblPr>
        <w:tblStyle w:val="12"/>
        <w:tblW w:w="96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4821"/>
        <w:gridCol w:w="4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center"/>
              <w:rPr>
                <w:rFonts w:ascii="宋体" w:hAnsi="宋体"/>
                <w:color w:val="auto"/>
                <w:sz w:val="24"/>
                <w:szCs w:val="24"/>
                <w:highlight w:val="none"/>
              </w:rPr>
            </w:pPr>
            <w:r>
              <w:rPr>
                <w:rFonts w:hint="eastAsia" w:ascii="宋体" w:hAnsi="宋体"/>
                <w:color w:val="auto"/>
                <w:sz w:val="24"/>
                <w:szCs w:val="24"/>
                <w:highlight w:val="none"/>
              </w:rPr>
              <w:t>甲方开票信息</w:t>
            </w:r>
          </w:p>
        </w:tc>
        <w:tc>
          <w:tcPr>
            <w:tcW w:w="4822" w:type="dxa"/>
            <w:noWrap w:val="0"/>
            <w:vAlign w:val="top"/>
          </w:tcPr>
          <w:p>
            <w:pPr>
              <w:spacing w:line="360" w:lineRule="auto"/>
              <w:ind w:firstLine="0" w:firstLineChars="0"/>
              <w:jc w:val="center"/>
              <w:rPr>
                <w:rFonts w:ascii="宋体" w:hAnsi="宋体"/>
                <w:color w:val="auto"/>
                <w:sz w:val="24"/>
                <w:szCs w:val="24"/>
                <w:highlight w:val="none"/>
              </w:rPr>
            </w:pPr>
            <w:r>
              <w:rPr>
                <w:rFonts w:hint="eastAsia" w:ascii="宋体" w:hAnsi="宋体"/>
                <w:color w:val="auto"/>
                <w:sz w:val="24"/>
                <w:szCs w:val="24"/>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甲方：江苏省水利建设工程有限公司</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纳税人识别号：913200001347535697</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地址：扬州市广陵产业园</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电话：0514-87361764</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开户银行：建设银行扬州分行琼花支行</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4821" w:type="dxa"/>
            <w:noWrap w:val="0"/>
            <w:vAlign w:val="top"/>
          </w:tcPr>
          <w:p>
            <w:pPr>
              <w:spacing w:line="360" w:lineRule="auto"/>
              <w:ind w:firstLine="0" w:firstLineChars="0"/>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银行账号：32001745736050488688</w:t>
            </w:r>
          </w:p>
        </w:tc>
        <w:tc>
          <w:tcPr>
            <w:tcW w:w="4822" w:type="dxa"/>
            <w:noWrap w:val="0"/>
            <w:vAlign w:val="top"/>
          </w:tcPr>
          <w:p>
            <w:pPr>
              <w:spacing w:line="360" w:lineRule="auto"/>
              <w:ind w:firstLine="0" w:firstLineChars="0"/>
              <w:rPr>
                <w:rFonts w:ascii="宋体" w:hAnsi="宋体"/>
                <w:color w:val="auto"/>
                <w:sz w:val="24"/>
                <w:szCs w:val="24"/>
                <w:highlight w:val="none"/>
              </w:rPr>
            </w:pPr>
            <w:r>
              <w:rPr>
                <w:rFonts w:hint="eastAsia" w:ascii="宋体" w:hAnsi="宋体"/>
                <w:color w:val="auto"/>
                <w:sz w:val="24"/>
                <w:szCs w:val="24"/>
                <w:highlight w:val="none"/>
              </w:rPr>
              <w:t>银行账号：</w:t>
            </w:r>
          </w:p>
        </w:tc>
      </w:tr>
    </w:tbl>
    <w:p>
      <w:pPr>
        <w:keepNext w:val="0"/>
        <w:keepLines w:val="0"/>
        <w:pageBreakBefore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三、质量与技术标准：所供钢材应符合GB/1499.1—2017、GB1499.2-2018标准。</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四、合理损耗标准及计算方法：螺纹钢按理论重量计量交货，但该螺纹钢的实际负公差必须符合国家规定的质量检验标准，负公差超标的按不合格产品处理；型材、板材等钢材按磅重计量交货。</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五、钢材所有权自交货时转移。</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六、订货、收货与验收：</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color w:val="auto"/>
          <w:szCs w:val="21"/>
          <w:highlight w:val="none"/>
        </w:rPr>
        <w:t>1</w:t>
      </w:r>
      <w:r>
        <w:rPr>
          <w:rFonts w:hint="eastAsia"/>
          <w:color w:val="auto"/>
          <w:szCs w:val="21"/>
          <w:highlight w:val="none"/>
        </w:rPr>
        <w:t>、</w:t>
      </w:r>
      <w:r>
        <w:rPr>
          <w:rFonts w:hint="eastAsia"/>
          <w:color w:val="auto"/>
          <w:szCs w:val="21"/>
          <w:highlight w:val="none"/>
        </w:rPr>
        <w:t>甲方需提前</w:t>
      </w:r>
      <w:r>
        <w:rPr>
          <w:color w:val="auto"/>
          <w:szCs w:val="21"/>
          <w:highlight w:val="none"/>
          <w:u w:val="single"/>
        </w:rPr>
        <w:t xml:space="preserve"> </w:t>
      </w:r>
      <w:r>
        <w:rPr>
          <w:rFonts w:hint="eastAsia"/>
          <w:color w:val="auto"/>
          <w:szCs w:val="21"/>
          <w:highlight w:val="none"/>
          <w:u w:val="single"/>
        </w:rPr>
        <w:t>3</w:t>
      </w:r>
      <w:r>
        <w:rPr>
          <w:color w:val="auto"/>
          <w:szCs w:val="21"/>
          <w:highlight w:val="none"/>
          <w:u w:val="single"/>
        </w:rPr>
        <w:t xml:space="preserve"> </w:t>
      </w:r>
      <w:r>
        <w:rPr>
          <w:rFonts w:hint="eastAsia"/>
          <w:color w:val="auto"/>
          <w:szCs w:val="21"/>
          <w:highlight w:val="none"/>
          <w:u w:val="single"/>
          <w:lang w:val="en-US" w:eastAsia="zh-CN"/>
        </w:rPr>
        <w:t>个</w:t>
      </w:r>
      <w:r>
        <w:rPr>
          <w:rFonts w:hint="eastAsia"/>
          <w:color w:val="auto"/>
          <w:szCs w:val="21"/>
          <w:highlight w:val="none"/>
          <w:u w:val="none"/>
          <w:lang w:val="en-US" w:eastAsia="zh-CN"/>
        </w:rPr>
        <w:t>工作日以微信（或QQ）和电话两种方式同时</w:t>
      </w:r>
      <w:r>
        <w:rPr>
          <w:rFonts w:hint="eastAsia"/>
          <w:color w:val="auto"/>
          <w:szCs w:val="21"/>
          <w:highlight w:val="none"/>
        </w:rPr>
        <w:t>向乙方预报所需</w:t>
      </w:r>
      <w:r>
        <w:rPr>
          <w:rFonts w:hint="eastAsia"/>
          <w:color w:val="auto"/>
          <w:szCs w:val="21"/>
          <w:highlight w:val="none"/>
        </w:rPr>
        <w:t>钢材品牌、规格、数量等需求计划；乙方需在甲方提供计划后</w:t>
      </w:r>
      <w:r>
        <w:rPr>
          <w:rFonts w:hint="eastAsia"/>
          <w:color w:val="auto"/>
          <w:szCs w:val="21"/>
          <w:highlight w:val="none"/>
          <w:u w:val="single"/>
        </w:rPr>
        <w:t xml:space="preserve">  3  </w:t>
      </w:r>
      <w:r>
        <w:rPr>
          <w:rFonts w:hint="eastAsia"/>
          <w:color w:val="auto"/>
          <w:szCs w:val="21"/>
          <w:highlight w:val="none"/>
        </w:rPr>
        <w:t>日内供货；如乙方未能及时供货，乙方应赔偿甲方的损失。</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2、</w:t>
      </w:r>
      <w:r>
        <w:rPr>
          <w:rFonts w:hint="eastAsia"/>
          <w:color w:val="auto"/>
          <w:szCs w:val="21"/>
          <w:highlight w:val="none"/>
        </w:rPr>
        <w:t>乙方将钢材送到工地指定地点时，甲方指派</w:t>
      </w:r>
      <w:r>
        <w:rPr>
          <w:rFonts w:hint="eastAsia"/>
          <w:color w:val="auto"/>
          <w:szCs w:val="21"/>
          <w:highlight w:val="none"/>
          <w:u w:val="single"/>
        </w:rPr>
        <w:t xml:space="preserve"> </w:t>
      </w:r>
      <w:r>
        <w:rPr>
          <w:rFonts w:hint="eastAsia"/>
          <w:b/>
          <w:bCs/>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在工地现场签认，应核对送货签收单所载内容与实际钢材是否相符，如有异议需当场提出；甲方对质量有异议的可在收货后15个工作日内，以书面形式向乙方提出。</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color w:val="auto"/>
          <w:szCs w:val="21"/>
          <w:highlight w:val="none"/>
        </w:rPr>
        <w:t>3</w:t>
      </w:r>
      <w:r>
        <w:rPr>
          <w:rFonts w:hint="eastAsia"/>
          <w:color w:val="auto"/>
          <w:szCs w:val="21"/>
          <w:highlight w:val="none"/>
        </w:rPr>
        <w:t>、乙方需随车向甲方提供钢材有效检测证明或合格证、质保书等相关资料。甲方对乙方钢材进行抽样送检，抽样送检费用由甲方承担；若抽检不合格，乙方可对该批次钢材申请复检，复检和抽检费用由乙方承担。若复检仍不合格，乙方承诺在</w:t>
      </w:r>
      <w:r>
        <w:rPr>
          <w:color w:val="auto"/>
          <w:szCs w:val="21"/>
          <w:highlight w:val="none"/>
        </w:rPr>
        <w:t>5</w:t>
      </w:r>
      <w:r>
        <w:rPr>
          <w:rFonts w:hint="eastAsia"/>
          <w:color w:val="auto"/>
          <w:szCs w:val="21"/>
          <w:highlight w:val="none"/>
        </w:rPr>
        <w:t>个工作日内对该批次钢材按照甲方要求予以调换合格品或退货。选择调换合格品或退货由甲方决定，所发生的进退场运费由乙方承担。</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七、钢材结算和付款方式：</w:t>
      </w:r>
    </w:p>
    <w:p>
      <w:pPr>
        <w:keepNext w:val="0"/>
        <w:keepLines w:val="0"/>
        <w:pageBreakBefore w:val="0"/>
        <w:widowControl w:val="0"/>
        <w:kinsoku/>
        <w:wordWrap/>
        <w:overflowPunct/>
        <w:topLinePunct w:val="0"/>
        <w:autoSpaceDE/>
        <w:autoSpaceDN/>
        <w:bidi w:val="0"/>
        <w:adjustRightInd/>
        <w:snapToGrid/>
        <w:spacing w:line="348" w:lineRule="auto"/>
        <w:ind w:firstLine="482"/>
        <w:textAlignment w:val="auto"/>
        <w:rPr>
          <w:b/>
          <w:color w:val="auto"/>
          <w:szCs w:val="21"/>
          <w:highlight w:val="none"/>
        </w:rPr>
      </w:pPr>
      <w:r>
        <w:rPr>
          <w:rFonts w:hint="eastAsia"/>
          <w:b/>
          <w:color w:val="auto"/>
          <w:szCs w:val="21"/>
          <w:highlight w:val="none"/>
        </w:rPr>
        <w:t>1、结算依据：</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以甲方指派的</w:t>
      </w:r>
      <w:r>
        <w:rPr>
          <w:rFonts w:hint="eastAsia"/>
          <w:b/>
          <w:bCs/>
          <w:color w:val="auto"/>
          <w:szCs w:val="21"/>
          <w:highlight w:val="none"/>
          <w:u w:val="single"/>
          <w:lang w:val="en-US" w:eastAsia="zh-CN"/>
        </w:rPr>
        <w:t xml:space="preserve">          </w:t>
      </w:r>
      <w:r>
        <w:rPr>
          <w:rFonts w:hint="eastAsia"/>
          <w:b/>
          <w:bCs/>
          <w:color w:val="auto"/>
          <w:szCs w:val="21"/>
          <w:highlight w:val="none"/>
          <w:u w:val="single"/>
        </w:rPr>
        <w:t xml:space="preserve"> </w:t>
      </w:r>
      <w:r>
        <w:rPr>
          <w:rFonts w:hint="eastAsia"/>
          <w:color w:val="auto"/>
          <w:szCs w:val="21"/>
          <w:highlight w:val="none"/>
        </w:rPr>
        <w:t>在工地现场签认的钢材送货签收单上的数量和双方确认的结算单价作为结算依据；非有效授权人签署的签收单一律无效；如上述指定人员发生变动，甲方将另行书面通知乙方。</w:t>
      </w:r>
    </w:p>
    <w:p>
      <w:pPr>
        <w:keepNext w:val="0"/>
        <w:keepLines w:val="0"/>
        <w:pageBreakBefore w:val="0"/>
        <w:widowControl w:val="0"/>
        <w:kinsoku/>
        <w:wordWrap/>
        <w:overflowPunct/>
        <w:topLinePunct w:val="0"/>
        <w:autoSpaceDE/>
        <w:autoSpaceDN/>
        <w:bidi w:val="0"/>
        <w:adjustRightInd/>
        <w:snapToGrid/>
        <w:spacing w:line="348" w:lineRule="auto"/>
        <w:ind w:firstLine="482"/>
        <w:textAlignment w:val="auto"/>
        <w:rPr>
          <w:b/>
          <w:color w:val="auto"/>
          <w:szCs w:val="21"/>
          <w:highlight w:val="none"/>
        </w:rPr>
      </w:pPr>
      <w:r>
        <w:rPr>
          <w:rFonts w:hint="eastAsia"/>
          <w:b/>
          <w:color w:val="auto"/>
          <w:szCs w:val="21"/>
          <w:highlight w:val="none"/>
        </w:rPr>
        <w:t>（提醒：当项目部在工地现场授权签收的人员发生变动时，应书面通知乙方，明确变动时间、人员名单及相应的权限，并让乙方签字确认后存档。）</w:t>
      </w:r>
    </w:p>
    <w:p>
      <w:pPr>
        <w:keepNext w:val="0"/>
        <w:keepLines w:val="0"/>
        <w:pageBreakBefore w:val="0"/>
        <w:widowControl w:val="0"/>
        <w:kinsoku/>
        <w:wordWrap/>
        <w:overflowPunct/>
        <w:topLinePunct w:val="0"/>
        <w:autoSpaceDE/>
        <w:autoSpaceDN/>
        <w:bidi w:val="0"/>
        <w:adjustRightInd/>
        <w:snapToGrid/>
        <w:spacing w:line="348" w:lineRule="auto"/>
        <w:ind w:firstLine="482"/>
        <w:textAlignment w:val="auto"/>
        <w:rPr>
          <w:color w:val="auto"/>
          <w:szCs w:val="21"/>
          <w:highlight w:val="none"/>
        </w:rPr>
      </w:pPr>
      <w:r>
        <w:rPr>
          <w:b/>
          <w:color w:val="auto"/>
          <w:szCs w:val="21"/>
          <w:highlight w:val="none"/>
        </w:rPr>
        <w:t>2</w:t>
      </w:r>
      <w:r>
        <w:rPr>
          <w:rFonts w:hint="eastAsia"/>
          <w:b/>
          <w:color w:val="auto"/>
          <w:szCs w:val="21"/>
          <w:highlight w:val="none"/>
        </w:rPr>
        <w:t>、结算方式：</w:t>
      </w:r>
    </w:p>
    <w:p>
      <w:pPr>
        <w:keepNext w:val="0"/>
        <w:keepLines w:val="0"/>
        <w:pageBreakBefore w:val="0"/>
        <w:kinsoku/>
        <w:wordWrap/>
        <w:overflowPunct/>
        <w:topLinePunct w:val="0"/>
        <w:autoSpaceDE/>
        <w:autoSpaceDN/>
        <w:bidi w:val="0"/>
        <w:adjustRightInd/>
        <w:snapToGrid/>
        <w:spacing w:line="348" w:lineRule="auto"/>
        <w:textAlignment w:val="auto"/>
        <w:rPr>
          <w:color w:val="auto"/>
          <w:highlight w:val="none"/>
        </w:rPr>
      </w:pPr>
      <w:r>
        <w:rPr>
          <w:rFonts w:hint="eastAsia"/>
          <w:color w:val="auto"/>
          <w:szCs w:val="21"/>
          <w:highlight w:val="none"/>
        </w:rPr>
        <w:t>按批次结算，乙方在每批次货到现场后与甲方核对本批次所供经检验合格钢材数量及货款，甲方凭乙方开具的增值税专用发票及经双方核对一致的签收单进行结算，逾期未提交核对的签收单视同未发生。</w:t>
      </w:r>
      <w:r>
        <w:rPr>
          <w:rFonts w:hint="eastAsia" w:ascii="宋体" w:hAnsi="宋体" w:cs="宋体"/>
          <w:b w:val="0"/>
          <w:bCs w:val="0"/>
          <w:color w:val="auto"/>
          <w:highlight w:val="none"/>
          <w:lang w:val="en-US" w:eastAsia="zh-CN"/>
        </w:rPr>
        <w:t>供货量每大于3000吨或</w:t>
      </w:r>
      <w:r>
        <w:rPr>
          <w:rFonts w:hint="eastAsia"/>
          <w:color w:val="auto"/>
          <w:highlight w:val="none"/>
        </w:rPr>
        <w:t>每供货满3天</w:t>
      </w:r>
      <w:r>
        <w:rPr>
          <w:rFonts w:hint="eastAsia"/>
          <w:color w:val="auto"/>
          <w:highlight w:val="none"/>
          <w:lang w:eastAsia="zh-CN"/>
        </w:rPr>
        <w:t>（</w:t>
      </w:r>
      <w:r>
        <w:rPr>
          <w:rFonts w:hint="eastAsia"/>
          <w:color w:val="auto"/>
          <w:highlight w:val="none"/>
          <w:lang w:val="en-US" w:eastAsia="zh-CN"/>
        </w:rPr>
        <w:t>以先达到的条件</w:t>
      </w:r>
      <w:r>
        <w:rPr>
          <w:rFonts w:hint="eastAsia"/>
          <w:color w:val="auto"/>
          <w:highlight w:val="none"/>
          <w:lang w:eastAsia="zh-CN"/>
        </w:rPr>
        <w:t>）</w:t>
      </w:r>
      <w:r>
        <w:rPr>
          <w:rFonts w:hint="eastAsia" w:ascii="Times New Roman" w:hAnsi="Times New Roman" w:eastAsia="宋体" w:cs="Times New Roman"/>
          <w:color w:val="auto"/>
          <w:szCs w:val="21"/>
          <w:highlight w:val="none"/>
          <w:lang w:val="en-US" w:eastAsia="zh-CN"/>
        </w:rPr>
        <w:t>对已</w:t>
      </w:r>
      <w:r>
        <w:rPr>
          <w:rFonts w:hint="eastAsia"/>
          <w:color w:val="auto"/>
          <w:szCs w:val="21"/>
          <w:highlight w:val="none"/>
        </w:rPr>
        <w:t>检验合格钢材</w:t>
      </w:r>
      <w:r>
        <w:rPr>
          <w:rFonts w:hint="eastAsia" w:ascii="宋体" w:hAnsi="宋体" w:cs="宋体"/>
          <w:b w:val="0"/>
          <w:bCs w:val="0"/>
          <w:color w:val="auto"/>
          <w:highlight w:val="none"/>
          <w:lang w:val="en-US" w:eastAsia="zh-CN"/>
        </w:rPr>
        <w:t>进行一次过程结算，合同供货完成后进行最终结算，</w:t>
      </w:r>
      <w:r>
        <w:rPr>
          <w:rFonts w:hint="eastAsia"/>
          <w:color w:val="auto"/>
          <w:szCs w:val="21"/>
          <w:highlight w:val="none"/>
        </w:rPr>
        <w:t>该最终结算除双方签字并加盖公章外，必须报</w:t>
      </w:r>
      <w:r>
        <w:rPr>
          <w:rFonts w:hint="eastAsia"/>
          <w:color w:val="auto"/>
          <w:szCs w:val="21"/>
          <w:highlight w:val="none"/>
          <w:lang w:val="en-US" w:eastAsia="zh-CN"/>
        </w:rPr>
        <w:t>甲方</w:t>
      </w:r>
      <w:r>
        <w:rPr>
          <w:rFonts w:hint="eastAsia"/>
          <w:color w:val="auto"/>
          <w:szCs w:val="21"/>
          <w:highlight w:val="none"/>
        </w:rPr>
        <w:t>分公司</w:t>
      </w:r>
      <w:r>
        <w:rPr>
          <w:rFonts w:hint="eastAsia"/>
          <w:color w:val="auto"/>
          <w:szCs w:val="21"/>
          <w:highlight w:val="none"/>
          <w:u w:val="single"/>
          <w:lang w:val="en-US" w:eastAsia="zh-CN"/>
        </w:rPr>
        <w:t xml:space="preserve">    </w:t>
      </w:r>
      <w:r>
        <w:rPr>
          <w:rFonts w:hint="eastAsia"/>
          <w:color w:val="auto"/>
          <w:szCs w:val="21"/>
          <w:highlight w:val="none"/>
        </w:rPr>
        <w:t>审批后方为有效</w:t>
      </w:r>
      <w:r>
        <w:rPr>
          <w:rFonts w:hint="eastAsia" w:ascii="宋体" w:hAnsi="宋体" w:cs="宋体"/>
          <w:b w:val="0"/>
          <w:bCs w:val="0"/>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eastAsia="宋体"/>
          <w:color w:val="auto"/>
          <w:szCs w:val="21"/>
          <w:highlight w:val="none"/>
          <w:lang w:eastAsia="zh-CN"/>
        </w:rPr>
      </w:pPr>
      <w:r>
        <w:rPr>
          <w:rFonts w:hint="eastAsia"/>
          <w:color w:val="auto"/>
          <w:szCs w:val="21"/>
          <w:highlight w:val="none"/>
        </w:rPr>
        <w:t>乙方同时承诺：</w:t>
      </w:r>
      <w:r>
        <w:rPr>
          <w:rFonts w:hint="eastAsia"/>
          <w:color w:val="auto"/>
          <w:szCs w:val="21"/>
          <w:highlight w:val="none"/>
          <w:lang w:val="en-US" w:eastAsia="zh-CN"/>
        </w:rPr>
        <w:t>各</w:t>
      </w:r>
      <w:r>
        <w:rPr>
          <w:rFonts w:hint="eastAsia"/>
          <w:color w:val="auto"/>
          <w:szCs w:val="21"/>
          <w:highlight w:val="none"/>
        </w:rPr>
        <w:t>结算期内的所有钢材数量已经结算完毕，不存在留存未结算的</w:t>
      </w:r>
      <w:r>
        <w:rPr>
          <w:rFonts w:hint="eastAsia"/>
          <w:color w:val="auto"/>
          <w:szCs w:val="21"/>
          <w:highlight w:val="none"/>
          <w:lang w:val="en-US" w:eastAsia="zh-CN"/>
        </w:rPr>
        <w:t>钢材</w:t>
      </w:r>
      <w:r>
        <w:rPr>
          <w:rFonts w:hint="eastAsia"/>
          <w:color w:val="auto"/>
          <w:szCs w:val="21"/>
          <w:highlight w:val="none"/>
        </w:rPr>
        <w:t>数量和其他争议，所结报的</w:t>
      </w:r>
      <w:r>
        <w:rPr>
          <w:rFonts w:hint="eastAsia"/>
          <w:color w:val="auto"/>
          <w:szCs w:val="21"/>
          <w:highlight w:val="none"/>
          <w:lang w:val="en-US" w:eastAsia="zh-CN"/>
        </w:rPr>
        <w:t>钢材</w:t>
      </w:r>
      <w:r>
        <w:rPr>
          <w:rFonts w:hint="eastAsia"/>
          <w:color w:val="auto"/>
          <w:szCs w:val="21"/>
          <w:highlight w:val="none"/>
        </w:rPr>
        <w:t>数量均真实有效，如发现有不实</w:t>
      </w:r>
      <w:r>
        <w:rPr>
          <w:rFonts w:hint="eastAsia"/>
          <w:color w:val="auto"/>
          <w:szCs w:val="21"/>
          <w:highlight w:val="none"/>
          <w:lang w:val="en-US" w:eastAsia="zh-CN"/>
        </w:rPr>
        <w:t>钢材</w:t>
      </w:r>
      <w:r>
        <w:rPr>
          <w:rFonts w:hint="eastAsia"/>
          <w:color w:val="auto"/>
          <w:szCs w:val="21"/>
          <w:highlight w:val="none"/>
        </w:rPr>
        <w:t>数量，我单位同意核减不实数。</w:t>
      </w:r>
    </w:p>
    <w:p>
      <w:pPr>
        <w:keepNext w:val="0"/>
        <w:keepLines w:val="0"/>
        <w:pageBreakBefore w:val="0"/>
        <w:widowControl w:val="0"/>
        <w:kinsoku/>
        <w:wordWrap/>
        <w:overflowPunct/>
        <w:topLinePunct w:val="0"/>
        <w:autoSpaceDE/>
        <w:autoSpaceDN/>
        <w:bidi w:val="0"/>
        <w:adjustRightInd/>
        <w:snapToGrid/>
        <w:spacing w:line="348" w:lineRule="auto"/>
        <w:ind w:firstLine="482"/>
        <w:textAlignment w:val="auto"/>
        <w:rPr>
          <w:color w:val="auto"/>
          <w:szCs w:val="21"/>
          <w:highlight w:val="none"/>
        </w:rPr>
      </w:pPr>
      <w:r>
        <w:rPr>
          <w:b/>
          <w:color w:val="auto"/>
          <w:szCs w:val="21"/>
          <w:highlight w:val="none"/>
        </w:rPr>
        <w:t>3</w:t>
      </w:r>
      <w:r>
        <w:rPr>
          <w:rFonts w:hint="eastAsia"/>
          <w:b/>
          <w:color w:val="auto"/>
          <w:szCs w:val="21"/>
          <w:highlight w:val="none"/>
        </w:rPr>
        <w:t>、付款方式：</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双方办理结算手续，甲方</w:t>
      </w:r>
      <w:r>
        <w:rPr>
          <w:rFonts w:hint="eastAsia"/>
          <w:color w:val="auto"/>
          <w:szCs w:val="21"/>
          <w:highlight w:val="none"/>
          <w:lang w:val="en-US" w:eastAsia="zh-CN"/>
        </w:rPr>
        <w:t>在收到乙方开具的税率为13%且与已结算货款等额的增值税专用发票后的</w:t>
      </w:r>
      <w:r>
        <w:rPr>
          <w:rFonts w:hint="eastAsia"/>
          <w:color w:val="auto"/>
          <w:szCs w:val="21"/>
          <w:highlight w:val="none"/>
          <w:u w:val="single"/>
          <w:lang w:val="en-US" w:eastAsia="zh-CN"/>
        </w:rPr>
        <w:t>3</w:t>
      </w:r>
      <w:r>
        <w:rPr>
          <w:rFonts w:hint="eastAsia"/>
          <w:color w:val="auto"/>
          <w:szCs w:val="21"/>
          <w:highlight w:val="none"/>
        </w:rPr>
        <w:t>天内向</w:t>
      </w:r>
      <w:r>
        <w:rPr>
          <w:rFonts w:hint="eastAsia"/>
          <w:color w:val="auto"/>
          <w:szCs w:val="21"/>
          <w:highlight w:val="none"/>
          <w:lang w:val="en-US" w:eastAsia="zh-CN"/>
        </w:rPr>
        <w:t>付清已结算货款</w:t>
      </w:r>
      <w:r>
        <w:rPr>
          <w:rFonts w:hint="eastAsia"/>
          <w:color w:val="auto"/>
          <w:szCs w:val="21"/>
          <w:highlight w:val="none"/>
        </w:rPr>
        <w:t>；乙方申请付款时，必须向甲方出具付款申请书、盖有财务专用章的收款收据，联同发票一并提交甲方办理财务支付手续。</w:t>
      </w:r>
    </w:p>
    <w:p>
      <w:pPr>
        <w:keepNext w:val="0"/>
        <w:keepLines w:val="0"/>
        <w:pageBreakBefore w:val="0"/>
        <w:shd w:val="clear" w:color="auto" w:fill="FFFFFF"/>
        <w:kinsoku/>
        <w:wordWrap/>
        <w:overflowPunct/>
        <w:topLinePunct w:val="0"/>
        <w:autoSpaceDE/>
        <w:autoSpaceDN/>
        <w:bidi w:val="0"/>
        <w:adjustRightInd/>
        <w:snapToGrid/>
        <w:spacing w:line="348" w:lineRule="auto"/>
        <w:ind w:firstLine="482"/>
        <w:textAlignment w:val="auto"/>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八、其他约定事项</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2、本合同在履约过程中，如有任何调增单价、降低质量标准、提前支付货款等</w:t>
      </w:r>
      <w:bookmarkStart w:id="6" w:name="_Hlk77770211"/>
      <w:r>
        <w:rPr>
          <w:rFonts w:hint="eastAsia"/>
          <w:color w:val="auto"/>
          <w:szCs w:val="21"/>
          <w:highlight w:val="none"/>
        </w:rPr>
        <w:t>明显有损于甲方利益的合同条款变更事项</w:t>
      </w:r>
      <w:bookmarkEnd w:id="6"/>
      <w:r>
        <w:rPr>
          <w:rFonts w:hint="eastAsia"/>
          <w:color w:val="auto"/>
          <w:szCs w:val="21"/>
          <w:highlight w:val="none"/>
        </w:rPr>
        <w:t>，经双方代表共同协商一致并书面报甲方公司财务物资部签字并盖章确认后，方可另行签订书面协议，对于未经甲方公司财务物资部签字并盖章确认的明显有损于甲方利益的所有补充、变更协议无效。</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3、乙方需向甲方交纳</w:t>
      </w:r>
      <w:r>
        <w:rPr>
          <w:rFonts w:hint="eastAsia"/>
          <w:color w:val="auto"/>
          <w:szCs w:val="21"/>
          <w:highlight w:val="none"/>
          <w:u w:val="single"/>
          <w:lang w:val="en-US" w:eastAsia="zh-CN"/>
        </w:rPr>
        <w:t xml:space="preserve"> </w:t>
      </w:r>
      <w:r>
        <w:rPr>
          <w:rFonts w:hint="eastAsia"/>
          <w:b/>
          <w:bCs/>
          <w:color w:val="auto"/>
          <w:szCs w:val="21"/>
          <w:highlight w:val="none"/>
          <w:u w:val="single"/>
          <w:lang w:val="en-US" w:eastAsia="zh-CN"/>
        </w:rPr>
        <w:t>伍拾</w:t>
      </w:r>
      <w:r>
        <w:rPr>
          <w:rFonts w:hint="eastAsia"/>
          <w:color w:val="auto"/>
          <w:szCs w:val="21"/>
          <w:highlight w:val="none"/>
          <w:u w:val="single"/>
          <w:lang w:val="en-US" w:eastAsia="zh-CN"/>
        </w:rPr>
        <w:t xml:space="preserve"> </w:t>
      </w:r>
      <w:r>
        <w:rPr>
          <w:rFonts w:hint="eastAsia"/>
          <w:color w:val="auto"/>
          <w:szCs w:val="21"/>
          <w:highlight w:val="none"/>
          <w:u w:val="none"/>
          <w:lang w:val="en-US" w:eastAsia="zh-CN"/>
        </w:rPr>
        <w:t>万元</w:t>
      </w:r>
      <w:r>
        <w:rPr>
          <w:rFonts w:hint="eastAsia"/>
          <w:color w:val="auto"/>
          <w:szCs w:val="21"/>
          <w:highlight w:val="none"/>
        </w:rPr>
        <w:t>履约保证金（</w:t>
      </w:r>
      <w:r>
        <w:rPr>
          <w:rFonts w:hint="eastAsia"/>
          <w:color w:val="auto"/>
          <w:szCs w:val="21"/>
          <w:highlight w:val="none"/>
        </w:rPr>
        <w:t>可以银行转账、现金、银行汇票、银行本票等方式缴纳，不接受其他任何方式</w:t>
      </w:r>
      <w:r>
        <w:rPr>
          <w:rFonts w:hint="eastAsia"/>
          <w:color w:val="auto"/>
          <w:szCs w:val="21"/>
          <w:highlight w:val="none"/>
        </w:rPr>
        <w:t>），在签订合同前缴纳到位，在供货全部结束无异议后无息退还。</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default"/>
          <w:color w:val="auto"/>
          <w:szCs w:val="21"/>
          <w:highlight w:val="none"/>
          <w:lang w:val="en-US" w:eastAsia="zh-CN"/>
        </w:rPr>
      </w:pPr>
      <w:r>
        <w:rPr>
          <w:rFonts w:hint="eastAsia"/>
          <w:color w:val="auto"/>
          <w:szCs w:val="21"/>
          <w:highlight w:val="none"/>
          <w:lang w:val="en-US" w:eastAsia="zh-CN"/>
        </w:rPr>
        <w:t>4</w:t>
      </w:r>
      <w:r>
        <w:rPr>
          <w:rFonts w:hint="eastAsia"/>
          <w:color w:val="auto"/>
          <w:szCs w:val="21"/>
          <w:highlight w:val="none"/>
        </w:rPr>
        <w:t>、</w:t>
      </w:r>
      <w:r>
        <w:rPr>
          <w:rFonts w:hint="eastAsia"/>
          <w:color w:val="auto"/>
          <w:szCs w:val="21"/>
          <w:highlight w:val="none"/>
          <w:lang w:val="en-US" w:eastAsia="zh-CN"/>
        </w:rPr>
        <w:t>乙方未按“订货通知单”的规格、数量、时间要求供货，按违约处理。</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lang w:val="en-US" w:eastAsia="zh-CN"/>
        </w:rPr>
        <w:t>5</w:t>
      </w:r>
      <w:r>
        <w:rPr>
          <w:rFonts w:hint="eastAsia"/>
          <w:color w:val="auto"/>
          <w:szCs w:val="21"/>
          <w:highlight w:val="none"/>
        </w:rPr>
        <w:t>、</w:t>
      </w:r>
      <w:r>
        <w:rPr>
          <w:rFonts w:hint="eastAsia"/>
          <w:b/>
          <w:bCs/>
          <w:color w:val="auto"/>
          <w:szCs w:val="21"/>
          <w:highlight w:val="none"/>
        </w:rPr>
        <w:t>同一规格的钢筋供应采用同一炉批号或同一炉批号的供应量为59</w:t>
      </w:r>
      <w:r>
        <w:rPr>
          <w:rFonts w:hint="eastAsia" w:ascii="宋体" w:hAnsi="宋体" w:eastAsia="宋体" w:cs="宋体"/>
          <w:b/>
          <w:bCs/>
          <w:color w:val="auto"/>
          <w:szCs w:val="21"/>
          <w:highlight w:val="none"/>
        </w:rPr>
        <w:t>～</w:t>
      </w:r>
      <w:r>
        <w:rPr>
          <w:rFonts w:hint="eastAsia"/>
          <w:b/>
          <w:bCs/>
          <w:color w:val="auto"/>
          <w:szCs w:val="21"/>
          <w:highlight w:val="none"/>
        </w:rPr>
        <w:t>60吨的几何倍数。同一规格钢筋超过120吨时，出现2次以上</w:t>
      </w:r>
      <w:r>
        <w:rPr>
          <w:rFonts w:hint="eastAsia"/>
          <w:b/>
          <w:bCs/>
          <w:color w:val="auto"/>
          <w:szCs w:val="21"/>
          <w:highlight w:val="none"/>
          <w:lang w:eastAsia="zh-CN"/>
        </w:rPr>
        <w:t>（</w:t>
      </w:r>
      <w:r>
        <w:rPr>
          <w:rFonts w:hint="eastAsia"/>
          <w:b/>
          <w:bCs/>
          <w:color w:val="auto"/>
          <w:szCs w:val="21"/>
          <w:highlight w:val="none"/>
          <w:lang w:val="en-US" w:eastAsia="zh-CN"/>
        </w:rPr>
        <w:t>含2次</w:t>
      </w:r>
      <w:r>
        <w:rPr>
          <w:rFonts w:hint="eastAsia"/>
          <w:b/>
          <w:bCs/>
          <w:color w:val="auto"/>
          <w:szCs w:val="21"/>
          <w:highlight w:val="none"/>
          <w:lang w:eastAsia="zh-CN"/>
        </w:rPr>
        <w:t>）</w:t>
      </w:r>
      <w:r>
        <w:rPr>
          <w:rFonts w:hint="eastAsia"/>
          <w:b/>
          <w:bCs/>
          <w:color w:val="auto"/>
          <w:szCs w:val="21"/>
          <w:highlight w:val="none"/>
        </w:rPr>
        <w:t>同一炉批号供应量小于60吨的，第3次开始每次承担1000元违约金，上不封顶。</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九、违约责任</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甲乙双方应该严格履行各自的义务，否则，应视为违约，违约方应向守约方赔偿损失。</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如果乙方向甲方提供的钢材不符合本合同约定的指标，或者供货期超出甲方指定供货期3日的，甲方有权终止本合同的履行。</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鉴于钢材质量在工程质量评价中的重要性，甲乙双方应严把质量关，严禁瘦身钢材等不合格钢材流入施工工地；一经发现，甲方有权单方面终止本合同、有权拒付已供货款、有权向有关部门报案。</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十、解决争议的方式</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本合同在履行过程中如产生争议，甲、乙双方应友好协商；如协商不成，可向扬州市邗江区人民法院提起诉讼。本合同关于争议解决方式的约定具有最高的效力，双方以后发生的补充合同、会议纪要、来往函件、发料单、结算单等涉及到争议解决方式的，均不得对抗此约定。</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十一、本合同经甲乙双方盖章及授权签字人签字后生效，一式四份，甲方执三份，具有同等法律效力。</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bCs/>
          <w:color w:val="auto"/>
          <w:szCs w:val="21"/>
          <w:highlight w:val="none"/>
        </w:rPr>
      </w:pPr>
      <w:r>
        <w:rPr>
          <w:rFonts w:hint="eastAsia"/>
          <w:bCs/>
          <w:color w:val="auto"/>
          <w:szCs w:val="21"/>
          <w:highlight w:val="none"/>
        </w:rPr>
        <w:t>十二、本合同附件：</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w:t>
      </w:r>
      <w:r>
        <w:rPr>
          <w:color w:val="auto"/>
          <w:szCs w:val="21"/>
          <w:highlight w:val="none"/>
        </w:rPr>
        <w:t>1</w:t>
      </w:r>
      <w:r>
        <w:rPr>
          <w:rFonts w:hint="eastAsia"/>
          <w:color w:val="auto"/>
          <w:szCs w:val="21"/>
          <w:highlight w:val="none"/>
        </w:rPr>
        <w:t>）甲乙双方营业执照复印件；</w:t>
      </w:r>
    </w:p>
    <w:p>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color w:val="auto"/>
          <w:szCs w:val="21"/>
          <w:highlight w:val="none"/>
        </w:rPr>
      </w:pPr>
      <w:r>
        <w:rPr>
          <w:rFonts w:hint="eastAsia"/>
          <w:color w:val="auto"/>
          <w:szCs w:val="21"/>
          <w:highlight w:val="none"/>
        </w:rPr>
        <w:t>（2）甲方与业主签订的主合同中钢材技术条款；</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（3）</w:t>
      </w:r>
      <w:r>
        <w:rPr>
          <w:rFonts w:hint="eastAsia"/>
          <w:color w:val="auto"/>
          <w:szCs w:val="21"/>
          <w:highlight w:val="none"/>
          <w:lang w:val="en-US" w:eastAsia="zh-CN"/>
        </w:rPr>
        <w:t>钢材</w:t>
      </w:r>
      <w:r>
        <w:rPr>
          <w:rFonts w:hint="eastAsia"/>
          <w:color w:val="auto"/>
          <w:szCs w:val="21"/>
          <w:highlight w:val="none"/>
        </w:rPr>
        <w:t>采购的招标文件、乙方的投标文件。</w:t>
      </w:r>
    </w:p>
    <w:p>
      <w:pPr>
        <w:pStyle w:val="2"/>
        <w:keepNext w:val="0"/>
        <w:keepLines w:val="0"/>
        <w:pageBreakBefore w:val="0"/>
        <w:kinsoku/>
        <w:wordWrap/>
        <w:overflowPunct/>
        <w:topLinePunct w:val="0"/>
        <w:autoSpaceDE/>
        <w:autoSpaceDN/>
        <w:bidi w:val="0"/>
        <w:adjustRightInd/>
        <w:snapToGrid/>
        <w:spacing w:before="0" w:line="348" w:lineRule="auto"/>
        <w:textAlignment w:val="auto"/>
        <w:rPr>
          <w:color w:val="auto"/>
          <w:highlight w:val="none"/>
        </w:rPr>
      </w:pPr>
    </w:p>
    <w:p>
      <w:pPr>
        <w:keepNext w:val="0"/>
        <w:keepLines w:val="0"/>
        <w:pageBreakBefore w:val="0"/>
        <w:kinsoku/>
        <w:wordWrap/>
        <w:overflowPunct/>
        <w:topLinePunct w:val="0"/>
        <w:autoSpaceDE/>
        <w:autoSpaceDN/>
        <w:bidi w:val="0"/>
        <w:adjustRightInd/>
        <w:snapToGrid/>
        <w:spacing w:line="348" w:lineRule="auto"/>
        <w:ind w:firstLine="480"/>
        <w:textAlignment w:val="auto"/>
        <w:rPr>
          <w:color w:val="auto"/>
          <w:szCs w:val="21"/>
          <w:highlight w:val="none"/>
        </w:rPr>
      </w:pP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甲    方：                               乙    方：</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地    址：                               地    址：</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法定代表人：                             法定代表人：</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授权委托人：                             授权委托人：</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联系电话：                               联系电话：</w:t>
      </w:r>
    </w:p>
    <w:p>
      <w:pPr>
        <w:keepNext w:val="0"/>
        <w:keepLines w:val="0"/>
        <w:pageBreakBefore w:val="0"/>
        <w:kinsoku/>
        <w:wordWrap/>
        <w:overflowPunct/>
        <w:topLinePunct w:val="0"/>
        <w:autoSpaceDE/>
        <w:autoSpaceDN/>
        <w:bidi w:val="0"/>
        <w:adjustRightInd/>
        <w:snapToGrid/>
        <w:spacing w:line="348" w:lineRule="auto"/>
        <w:ind w:firstLine="480"/>
        <w:textAlignment w:val="auto"/>
        <w:rPr>
          <w:rFonts w:hint="eastAsia"/>
          <w:color w:val="auto"/>
          <w:szCs w:val="21"/>
          <w:highlight w:val="none"/>
        </w:rPr>
      </w:pPr>
      <w:r>
        <w:rPr>
          <w:rFonts w:hint="eastAsia"/>
          <w:color w:val="auto"/>
          <w:szCs w:val="21"/>
          <w:highlight w:val="none"/>
        </w:rPr>
        <w:t>签订时间：                               签订时间：</w:t>
      </w:r>
    </w:p>
    <w:sectPr>
      <w:headerReference r:id="rId7" w:type="first"/>
      <w:footerReference r:id="rId10" w:type="first"/>
      <w:headerReference r:id="rId5" w:type="default"/>
      <w:footerReference r:id="rId8" w:type="default"/>
      <w:headerReference r:id="rId6" w:type="even"/>
      <w:footerReference r:id="rId9" w:type="even"/>
      <w:pgSz w:w="11906" w:h="16838"/>
      <w:pgMar w:top="1375" w:right="1134" w:bottom="1135" w:left="1134" w:header="567" w:footer="649"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18030">
    <w:altName w:val="微软雅黑"/>
    <w:panose1 w:val="00000000000000000000"/>
    <w:charset w:val="86"/>
    <w:family w:val="auto"/>
    <w:pitch w:val="default"/>
    <w:sig w:usb0="00000000" w:usb1="00000000" w:usb2="000A005E" w:usb3="00000000" w:csb0="00040001" w:csb1="00000000"/>
  </w:font>
  <w:font w:name="-webkit-standar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auto"/>
      <w:ind w:firstLine="0" w:firstLineChars="0"/>
      <w:jc w:val="both"/>
    </w:pPr>
    <w:bookmarkStart w:id="7" w:name="_Hlk148369381"/>
    <w:bookmarkStart w:id="8" w:name="_Hlk148369380"/>
    <w:r>
      <w:rPr>
        <w:rFonts w:hint="eastAsia" w:ascii="宋体" w:hAnsi="宋体"/>
        <w:sz w:val="21"/>
        <w:szCs w:val="21"/>
      </w:rPr>
      <w:t xml:space="preserve">淮河入海水道二期滨海枢纽工程土建施工及设备安装 </w:t>
    </w:r>
    <w:r>
      <w:rPr>
        <w:rFonts w:ascii="宋体" w:hAnsi="宋体"/>
        <w:sz w:val="21"/>
        <w:szCs w:val="21"/>
      </w:rPr>
      <w:t xml:space="preserve">     </w:t>
    </w:r>
    <w:r>
      <w:rPr>
        <w:rFonts w:hint="eastAsia" w:ascii="宋体" w:hAnsi="宋体"/>
        <w:sz w:val="21"/>
        <w:szCs w:val="21"/>
        <w:lang w:val="en-US" w:eastAsia="zh-CN"/>
      </w:rPr>
      <w:t xml:space="preserve">                       钢筋</w:t>
    </w:r>
    <w:r>
      <w:rPr>
        <w:rFonts w:hint="eastAsia" w:ascii="宋体" w:hAnsi="宋体"/>
        <w:sz w:val="21"/>
        <w:szCs w:val="21"/>
      </w:rPr>
      <w:t>采购招标文件</w:t>
    </w:r>
    <w:bookmarkEnd w:id="7"/>
    <w:bookmarkEnd w:id="8"/>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282965"/>
    <w:multiLevelType w:val="singleLevel"/>
    <w:tmpl w:val="6528296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813C90"/>
    <w:rsid w:val="00003743"/>
    <w:rsid w:val="00004D81"/>
    <w:rsid w:val="000138BB"/>
    <w:rsid w:val="00013A19"/>
    <w:rsid w:val="0002020A"/>
    <w:rsid w:val="00026377"/>
    <w:rsid w:val="00030744"/>
    <w:rsid w:val="00035A78"/>
    <w:rsid w:val="0003634D"/>
    <w:rsid w:val="00037D73"/>
    <w:rsid w:val="00044E6F"/>
    <w:rsid w:val="00065C2D"/>
    <w:rsid w:val="0007393F"/>
    <w:rsid w:val="000766DF"/>
    <w:rsid w:val="00077177"/>
    <w:rsid w:val="00082CC9"/>
    <w:rsid w:val="000A1304"/>
    <w:rsid w:val="000A2C37"/>
    <w:rsid w:val="000A370F"/>
    <w:rsid w:val="000B2D8E"/>
    <w:rsid w:val="000E5A13"/>
    <w:rsid w:val="000E6C2E"/>
    <w:rsid w:val="000E78F5"/>
    <w:rsid w:val="000F2A9D"/>
    <w:rsid w:val="000F699B"/>
    <w:rsid w:val="000F74B6"/>
    <w:rsid w:val="000F7C0C"/>
    <w:rsid w:val="00116239"/>
    <w:rsid w:val="00124B4C"/>
    <w:rsid w:val="00124BD5"/>
    <w:rsid w:val="0013335D"/>
    <w:rsid w:val="001529F7"/>
    <w:rsid w:val="00161641"/>
    <w:rsid w:val="00166238"/>
    <w:rsid w:val="00172580"/>
    <w:rsid w:val="00182E67"/>
    <w:rsid w:val="001A3B8E"/>
    <w:rsid w:val="001A7657"/>
    <w:rsid w:val="001B29E0"/>
    <w:rsid w:val="001C0439"/>
    <w:rsid w:val="001D135E"/>
    <w:rsid w:val="001F3070"/>
    <w:rsid w:val="001F4D2C"/>
    <w:rsid w:val="001F5FE3"/>
    <w:rsid w:val="0020491B"/>
    <w:rsid w:val="002054D0"/>
    <w:rsid w:val="002161EC"/>
    <w:rsid w:val="0021658D"/>
    <w:rsid w:val="002268FA"/>
    <w:rsid w:val="00234809"/>
    <w:rsid w:val="00241473"/>
    <w:rsid w:val="00241BC0"/>
    <w:rsid w:val="0024493D"/>
    <w:rsid w:val="00247553"/>
    <w:rsid w:val="0026657A"/>
    <w:rsid w:val="00273D15"/>
    <w:rsid w:val="00280EF7"/>
    <w:rsid w:val="00281BB5"/>
    <w:rsid w:val="00282169"/>
    <w:rsid w:val="00287080"/>
    <w:rsid w:val="0029322F"/>
    <w:rsid w:val="002934CF"/>
    <w:rsid w:val="002A6D7E"/>
    <w:rsid w:val="002A7991"/>
    <w:rsid w:val="002E2469"/>
    <w:rsid w:val="002E3CC8"/>
    <w:rsid w:val="002E6A35"/>
    <w:rsid w:val="002E6D37"/>
    <w:rsid w:val="002F0B40"/>
    <w:rsid w:val="002F1C12"/>
    <w:rsid w:val="003025BF"/>
    <w:rsid w:val="003134ED"/>
    <w:rsid w:val="00334FB6"/>
    <w:rsid w:val="00336065"/>
    <w:rsid w:val="00353C40"/>
    <w:rsid w:val="00360A05"/>
    <w:rsid w:val="0036151A"/>
    <w:rsid w:val="00365DE9"/>
    <w:rsid w:val="003762F2"/>
    <w:rsid w:val="00377F62"/>
    <w:rsid w:val="00380496"/>
    <w:rsid w:val="00384093"/>
    <w:rsid w:val="00386362"/>
    <w:rsid w:val="00392543"/>
    <w:rsid w:val="003A2923"/>
    <w:rsid w:val="003A32BA"/>
    <w:rsid w:val="003B1404"/>
    <w:rsid w:val="003B3BAB"/>
    <w:rsid w:val="003B6505"/>
    <w:rsid w:val="003B7619"/>
    <w:rsid w:val="003C0EBE"/>
    <w:rsid w:val="003C14F0"/>
    <w:rsid w:val="003D2B79"/>
    <w:rsid w:val="003F0943"/>
    <w:rsid w:val="003F55EB"/>
    <w:rsid w:val="004270A4"/>
    <w:rsid w:val="004317D2"/>
    <w:rsid w:val="00436C1A"/>
    <w:rsid w:val="0044082E"/>
    <w:rsid w:val="00440FD6"/>
    <w:rsid w:val="0044393F"/>
    <w:rsid w:val="00443F8E"/>
    <w:rsid w:val="00445253"/>
    <w:rsid w:val="004515CE"/>
    <w:rsid w:val="00461C89"/>
    <w:rsid w:val="00466745"/>
    <w:rsid w:val="00471ECA"/>
    <w:rsid w:val="004735D8"/>
    <w:rsid w:val="00474C0B"/>
    <w:rsid w:val="004750C5"/>
    <w:rsid w:val="004760DE"/>
    <w:rsid w:val="00480667"/>
    <w:rsid w:val="004915A4"/>
    <w:rsid w:val="004974CC"/>
    <w:rsid w:val="004A0AB8"/>
    <w:rsid w:val="004A2783"/>
    <w:rsid w:val="004A564A"/>
    <w:rsid w:val="004B23CA"/>
    <w:rsid w:val="004B38B9"/>
    <w:rsid w:val="004B75AF"/>
    <w:rsid w:val="004C1015"/>
    <w:rsid w:val="004E234E"/>
    <w:rsid w:val="004E3630"/>
    <w:rsid w:val="004E3FA1"/>
    <w:rsid w:val="004E622C"/>
    <w:rsid w:val="004E77CA"/>
    <w:rsid w:val="004E7990"/>
    <w:rsid w:val="004F3F17"/>
    <w:rsid w:val="004F4B2A"/>
    <w:rsid w:val="00501BF9"/>
    <w:rsid w:val="00511AFF"/>
    <w:rsid w:val="00524752"/>
    <w:rsid w:val="00530D2F"/>
    <w:rsid w:val="00543B88"/>
    <w:rsid w:val="0054774E"/>
    <w:rsid w:val="00552DD8"/>
    <w:rsid w:val="00555975"/>
    <w:rsid w:val="005708B5"/>
    <w:rsid w:val="005713A4"/>
    <w:rsid w:val="005728E7"/>
    <w:rsid w:val="00576658"/>
    <w:rsid w:val="00577EF0"/>
    <w:rsid w:val="00587810"/>
    <w:rsid w:val="005A4A9B"/>
    <w:rsid w:val="005B4A57"/>
    <w:rsid w:val="005B7DF3"/>
    <w:rsid w:val="005C1727"/>
    <w:rsid w:val="005C20EC"/>
    <w:rsid w:val="005E3262"/>
    <w:rsid w:val="005E50EC"/>
    <w:rsid w:val="005E5EBA"/>
    <w:rsid w:val="005F5461"/>
    <w:rsid w:val="00602BF5"/>
    <w:rsid w:val="00603EFD"/>
    <w:rsid w:val="00610216"/>
    <w:rsid w:val="006102D2"/>
    <w:rsid w:val="0062687D"/>
    <w:rsid w:val="006300BC"/>
    <w:rsid w:val="00632C50"/>
    <w:rsid w:val="00634E5C"/>
    <w:rsid w:val="0064265B"/>
    <w:rsid w:val="00643151"/>
    <w:rsid w:val="006829C8"/>
    <w:rsid w:val="0069477F"/>
    <w:rsid w:val="006B6818"/>
    <w:rsid w:val="006C1FC8"/>
    <w:rsid w:val="006D0EE1"/>
    <w:rsid w:val="006D1DBF"/>
    <w:rsid w:val="006D4579"/>
    <w:rsid w:val="006E64F4"/>
    <w:rsid w:val="006F2406"/>
    <w:rsid w:val="006F536F"/>
    <w:rsid w:val="006F6763"/>
    <w:rsid w:val="0070231E"/>
    <w:rsid w:val="00704304"/>
    <w:rsid w:val="00707223"/>
    <w:rsid w:val="00720445"/>
    <w:rsid w:val="00733D14"/>
    <w:rsid w:val="00741DB9"/>
    <w:rsid w:val="00743859"/>
    <w:rsid w:val="007448D0"/>
    <w:rsid w:val="00751519"/>
    <w:rsid w:val="0075228C"/>
    <w:rsid w:val="00752D4E"/>
    <w:rsid w:val="00760DE4"/>
    <w:rsid w:val="007615C0"/>
    <w:rsid w:val="0076280A"/>
    <w:rsid w:val="007720BC"/>
    <w:rsid w:val="0078645D"/>
    <w:rsid w:val="0078646D"/>
    <w:rsid w:val="00796E1E"/>
    <w:rsid w:val="007A53BD"/>
    <w:rsid w:val="007B0905"/>
    <w:rsid w:val="007B0A4D"/>
    <w:rsid w:val="007B1CB4"/>
    <w:rsid w:val="007B5B24"/>
    <w:rsid w:val="007B6AFC"/>
    <w:rsid w:val="007B7B15"/>
    <w:rsid w:val="007C3376"/>
    <w:rsid w:val="007D0223"/>
    <w:rsid w:val="007D1989"/>
    <w:rsid w:val="007D5E45"/>
    <w:rsid w:val="007E6AF1"/>
    <w:rsid w:val="007F0CB0"/>
    <w:rsid w:val="007F3D85"/>
    <w:rsid w:val="007F51A4"/>
    <w:rsid w:val="007F6893"/>
    <w:rsid w:val="00806724"/>
    <w:rsid w:val="00813A55"/>
    <w:rsid w:val="00813C90"/>
    <w:rsid w:val="00814284"/>
    <w:rsid w:val="008171EE"/>
    <w:rsid w:val="00826F9C"/>
    <w:rsid w:val="008321A7"/>
    <w:rsid w:val="00833681"/>
    <w:rsid w:val="00843484"/>
    <w:rsid w:val="00847D40"/>
    <w:rsid w:val="008500C1"/>
    <w:rsid w:val="00853831"/>
    <w:rsid w:val="00857403"/>
    <w:rsid w:val="00863180"/>
    <w:rsid w:val="008633B5"/>
    <w:rsid w:val="00893EE2"/>
    <w:rsid w:val="00895F6A"/>
    <w:rsid w:val="008A16F6"/>
    <w:rsid w:val="008A2E5F"/>
    <w:rsid w:val="008B0B69"/>
    <w:rsid w:val="008B22C6"/>
    <w:rsid w:val="008B567D"/>
    <w:rsid w:val="008B744C"/>
    <w:rsid w:val="008C0D7D"/>
    <w:rsid w:val="008D5CF2"/>
    <w:rsid w:val="008E602D"/>
    <w:rsid w:val="008F1112"/>
    <w:rsid w:val="008F67F8"/>
    <w:rsid w:val="009044DE"/>
    <w:rsid w:val="00913B11"/>
    <w:rsid w:val="0091478C"/>
    <w:rsid w:val="00915B59"/>
    <w:rsid w:val="00916413"/>
    <w:rsid w:val="00925A70"/>
    <w:rsid w:val="009265E0"/>
    <w:rsid w:val="00926B6C"/>
    <w:rsid w:val="00927A78"/>
    <w:rsid w:val="00930C2A"/>
    <w:rsid w:val="009330FD"/>
    <w:rsid w:val="00940554"/>
    <w:rsid w:val="009464B3"/>
    <w:rsid w:val="00953823"/>
    <w:rsid w:val="00961217"/>
    <w:rsid w:val="0096503D"/>
    <w:rsid w:val="00971731"/>
    <w:rsid w:val="00982851"/>
    <w:rsid w:val="009838C9"/>
    <w:rsid w:val="00984787"/>
    <w:rsid w:val="0099404B"/>
    <w:rsid w:val="0099536F"/>
    <w:rsid w:val="009956DB"/>
    <w:rsid w:val="00996470"/>
    <w:rsid w:val="00996EE2"/>
    <w:rsid w:val="0099798A"/>
    <w:rsid w:val="009A2F08"/>
    <w:rsid w:val="009B6810"/>
    <w:rsid w:val="009B72AF"/>
    <w:rsid w:val="009D3404"/>
    <w:rsid w:val="009D356C"/>
    <w:rsid w:val="009E38BC"/>
    <w:rsid w:val="009F0711"/>
    <w:rsid w:val="009F1AD3"/>
    <w:rsid w:val="009F46A3"/>
    <w:rsid w:val="00A06FF9"/>
    <w:rsid w:val="00A16DEB"/>
    <w:rsid w:val="00A23643"/>
    <w:rsid w:val="00A25CAE"/>
    <w:rsid w:val="00A319AF"/>
    <w:rsid w:val="00A332A5"/>
    <w:rsid w:val="00A3701C"/>
    <w:rsid w:val="00A3729B"/>
    <w:rsid w:val="00A47C03"/>
    <w:rsid w:val="00A51F39"/>
    <w:rsid w:val="00A568B5"/>
    <w:rsid w:val="00A65616"/>
    <w:rsid w:val="00A70015"/>
    <w:rsid w:val="00A720A8"/>
    <w:rsid w:val="00A81F9E"/>
    <w:rsid w:val="00A9357B"/>
    <w:rsid w:val="00AA07F1"/>
    <w:rsid w:val="00AB5DFF"/>
    <w:rsid w:val="00AB7DDF"/>
    <w:rsid w:val="00AC61DB"/>
    <w:rsid w:val="00AC6DF8"/>
    <w:rsid w:val="00AD18BC"/>
    <w:rsid w:val="00AD2D86"/>
    <w:rsid w:val="00AD76E9"/>
    <w:rsid w:val="00AE4571"/>
    <w:rsid w:val="00AE64E7"/>
    <w:rsid w:val="00B00535"/>
    <w:rsid w:val="00B04663"/>
    <w:rsid w:val="00B10C22"/>
    <w:rsid w:val="00B13064"/>
    <w:rsid w:val="00B20991"/>
    <w:rsid w:val="00B24290"/>
    <w:rsid w:val="00B249F8"/>
    <w:rsid w:val="00B26612"/>
    <w:rsid w:val="00B437F8"/>
    <w:rsid w:val="00B44E7B"/>
    <w:rsid w:val="00B505E1"/>
    <w:rsid w:val="00B550D4"/>
    <w:rsid w:val="00B575A4"/>
    <w:rsid w:val="00B57BEF"/>
    <w:rsid w:val="00B60A97"/>
    <w:rsid w:val="00B6286C"/>
    <w:rsid w:val="00B82338"/>
    <w:rsid w:val="00B865D2"/>
    <w:rsid w:val="00BA6F23"/>
    <w:rsid w:val="00BC3A09"/>
    <w:rsid w:val="00BD2951"/>
    <w:rsid w:val="00BE0086"/>
    <w:rsid w:val="00BE1560"/>
    <w:rsid w:val="00BE3190"/>
    <w:rsid w:val="00BE4700"/>
    <w:rsid w:val="00BE5D18"/>
    <w:rsid w:val="00C03C27"/>
    <w:rsid w:val="00C0745E"/>
    <w:rsid w:val="00C10374"/>
    <w:rsid w:val="00C12369"/>
    <w:rsid w:val="00C164E5"/>
    <w:rsid w:val="00C17D6C"/>
    <w:rsid w:val="00C26BF5"/>
    <w:rsid w:val="00C27CFF"/>
    <w:rsid w:val="00C34E6B"/>
    <w:rsid w:val="00C355E9"/>
    <w:rsid w:val="00C44805"/>
    <w:rsid w:val="00C51AAD"/>
    <w:rsid w:val="00C5309C"/>
    <w:rsid w:val="00C555FE"/>
    <w:rsid w:val="00C56C42"/>
    <w:rsid w:val="00C60A1B"/>
    <w:rsid w:val="00C77CE3"/>
    <w:rsid w:val="00C83309"/>
    <w:rsid w:val="00C90D26"/>
    <w:rsid w:val="00C93F5F"/>
    <w:rsid w:val="00CA257C"/>
    <w:rsid w:val="00CA5842"/>
    <w:rsid w:val="00CA6B2F"/>
    <w:rsid w:val="00CB42E9"/>
    <w:rsid w:val="00CC5161"/>
    <w:rsid w:val="00CC746D"/>
    <w:rsid w:val="00CC7DB7"/>
    <w:rsid w:val="00CD0F3A"/>
    <w:rsid w:val="00CD2BD1"/>
    <w:rsid w:val="00CD2DE0"/>
    <w:rsid w:val="00CD48B7"/>
    <w:rsid w:val="00CD64D0"/>
    <w:rsid w:val="00CE1143"/>
    <w:rsid w:val="00CE6521"/>
    <w:rsid w:val="00CF52E0"/>
    <w:rsid w:val="00CF6295"/>
    <w:rsid w:val="00D111A9"/>
    <w:rsid w:val="00D15E7A"/>
    <w:rsid w:val="00D21B14"/>
    <w:rsid w:val="00D439B2"/>
    <w:rsid w:val="00D43D64"/>
    <w:rsid w:val="00D529B9"/>
    <w:rsid w:val="00D57DB1"/>
    <w:rsid w:val="00D603F4"/>
    <w:rsid w:val="00D67488"/>
    <w:rsid w:val="00D76DD1"/>
    <w:rsid w:val="00D77684"/>
    <w:rsid w:val="00D84796"/>
    <w:rsid w:val="00D85DF3"/>
    <w:rsid w:val="00D911BA"/>
    <w:rsid w:val="00D9373F"/>
    <w:rsid w:val="00DA02EF"/>
    <w:rsid w:val="00DA1C46"/>
    <w:rsid w:val="00DB1EB1"/>
    <w:rsid w:val="00DB4209"/>
    <w:rsid w:val="00DD0B0C"/>
    <w:rsid w:val="00DD1855"/>
    <w:rsid w:val="00DE17A8"/>
    <w:rsid w:val="00DE27A5"/>
    <w:rsid w:val="00E01712"/>
    <w:rsid w:val="00E0335F"/>
    <w:rsid w:val="00E03987"/>
    <w:rsid w:val="00E05F69"/>
    <w:rsid w:val="00E07E8F"/>
    <w:rsid w:val="00E07FF3"/>
    <w:rsid w:val="00E164F2"/>
    <w:rsid w:val="00E248CA"/>
    <w:rsid w:val="00E2664D"/>
    <w:rsid w:val="00E42D9C"/>
    <w:rsid w:val="00E456F3"/>
    <w:rsid w:val="00E45CB4"/>
    <w:rsid w:val="00E46A05"/>
    <w:rsid w:val="00E52CFE"/>
    <w:rsid w:val="00E52FBF"/>
    <w:rsid w:val="00E66E1D"/>
    <w:rsid w:val="00E71061"/>
    <w:rsid w:val="00E76E15"/>
    <w:rsid w:val="00E828BC"/>
    <w:rsid w:val="00E82E51"/>
    <w:rsid w:val="00E83E7A"/>
    <w:rsid w:val="00E85105"/>
    <w:rsid w:val="00E878C9"/>
    <w:rsid w:val="00E91E91"/>
    <w:rsid w:val="00EB498A"/>
    <w:rsid w:val="00EC229F"/>
    <w:rsid w:val="00EC6077"/>
    <w:rsid w:val="00EC73D7"/>
    <w:rsid w:val="00EC74C3"/>
    <w:rsid w:val="00ED3012"/>
    <w:rsid w:val="00EE15F3"/>
    <w:rsid w:val="00EE1956"/>
    <w:rsid w:val="00EE2271"/>
    <w:rsid w:val="00EE469B"/>
    <w:rsid w:val="00EE628D"/>
    <w:rsid w:val="00EE6BB7"/>
    <w:rsid w:val="00F03B64"/>
    <w:rsid w:val="00F2318D"/>
    <w:rsid w:val="00F3035E"/>
    <w:rsid w:val="00F348B4"/>
    <w:rsid w:val="00F34F3C"/>
    <w:rsid w:val="00F35DBD"/>
    <w:rsid w:val="00F508D5"/>
    <w:rsid w:val="00F5116E"/>
    <w:rsid w:val="00F54500"/>
    <w:rsid w:val="00F555E7"/>
    <w:rsid w:val="00F55F72"/>
    <w:rsid w:val="00F61661"/>
    <w:rsid w:val="00F75A20"/>
    <w:rsid w:val="00F82381"/>
    <w:rsid w:val="00F90B68"/>
    <w:rsid w:val="00F92FC3"/>
    <w:rsid w:val="00F967EB"/>
    <w:rsid w:val="00FA43E3"/>
    <w:rsid w:val="00FC4606"/>
    <w:rsid w:val="00FC57C9"/>
    <w:rsid w:val="00FC69CC"/>
    <w:rsid w:val="00FC6FC5"/>
    <w:rsid w:val="00FD355A"/>
    <w:rsid w:val="00FD58BF"/>
    <w:rsid w:val="00FD7AC2"/>
    <w:rsid w:val="00FE4455"/>
    <w:rsid w:val="01103C2D"/>
    <w:rsid w:val="038B0B81"/>
    <w:rsid w:val="07403C53"/>
    <w:rsid w:val="08713D59"/>
    <w:rsid w:val="09645213"/>
    <w:rsid w:val="09AA4D5C"/>
    <w:rsid w:val="0B1701D1"/>
    <w:rsid w:val="0ECA20BE"/>
    <w:rsid w:val="0EF54358"/>
    <w:rsid w:val="0F3F3234"/>
    <w:rsid w:val="113D0A40"/>
    <w:rsid w:val="11A7458E"/>
    <w:rsid w:val="131531D0"/>
    <w:rsid w:val="13C35754"/>
    <w:rsid w:val="144D6B10"/>
    <w:rsid w:val="14C737CB"/>
    <w:rsid w:val="15504BE4"/>
    <w:rsid w:val="15981C34"/>
    <w:rsid w:val="15CD4330"/>
    <w:rsid w:val="16B22AF0"/>
    <w:rsid w:val="17B86CE3"/>
    <w:rsid w:val="17CE5331"/>
    <w:rsid w:val="1ADB5CF4"/>
    <w:rsid w:val="1AE1010F"/>
    <w:rsid w:val="1AF92E36"/>
    <w:rsid w:val="1B303AE1"/>
    <w:rsid w:val="1B9C5D6A"/>
    <w:rsid w:val="1D6C670B"/>
    <w:rsid w:val="1DBF22E0"/>
    <w:rsid w:val="1FDC6C67"/>
    <w:rsid w:val="20DB5060"/>
    <w:rsid w:val="20E05DE6"/>
    <w:rsid w:val="21367F3E"/>
    <w:rsid w:val="214B077B"/>
    <w:rsid w:val="226C6050"/>
    <w:rsid w:val="22F22670"/>
    <w:rsid w:val="22FF6127"/>
    <w:rsid w:val="232C558A"/>
    <w:rsid w:val="236616DD"/>
    <w:rsid w:val="24114F65"/>
    <w:rsid w:val="26BB3CDC"/>
    <w:rsid w:val="27064718"/>
    <w:rsid w:val="295748DB"/>
    <w:rsid w:val="297C16E8"/>
    <w:rsid w:val="29CB5AB0"/>
    <w:rsid w:val="2A267422"/>
    <w:rsid w:val="2A2B298A"/>
    <w:rsid w:val="2A827ECE"/>
    <w:rsid w:val="2A9B67F2"/>
    <w:rsid w:val="2AE359B6"/>
    <w:rsid w:val="2C343611"/>
    <w:rsid w:val="2C4F5DEB"/>
    <w:rsid w:val="2C576226"/>
    <w:rsid w:val="2C582C74"/>
    <w:rsid w:val="2D660F0B"/>
    <w:rsid w:val="2E6668AF"/>
    <w:rsid w:val="2F7F6DF1"/>
    <w:rsid w:val="2F931E89"/>
    <w:rsid w:val="30354B4A"/>
    <w:rsid w:val="3088138B"/>
    <w:rsid w:val="314C2CA8"/>
    <w:rsid w:val="32C5302B"/>
    <w:rsid w:val="33AF4BFE"/>
    <w:rsid w:val="3419255C"/>
    <w:rsid w:val="35B131BA"/>
    <w:rsid w:val="360748F4"/>
    <w:rsid w:val="37314C08"/>
    <w:rsid w:val="37547C65"/>
    <w:rsid w:val="38604219"/>
    <w:rsid w:val="38912259"/>
    <w:rsid w:val="38ED1C5F"/>
    <w:rsid w:val="39E35F79"/>
    <w:rsid w:val="3ACF2B00"/>
    <w:rsid w:val="3AE923DB"/>
    <w:rsid w:val="3B213B3E"/>
    <w:rsid w:val="3B556D4B"/>
    <w:rsid w:val="3B5B19DC"/>
    <w:rsid w:val="3BB764C3"/>
    <w:rsid w:val="3C5474B2"/>
    <w:rsid w:val="3CE66FE7"/>
    <w:rsid w:val="3DF60D2A"/>
    <w:rsid w:val="3FE045C7"/>
    <w:rsid w:val="4045400B"/>
    <w:rsid w:val="40525E7F"/>
    <w:rsid w:val="406452E3"/>
    <w:rsid w:val="41765CE0"/>
    <w:rsid w:val="41BA3E42"/>
    <w:rsid w:val="42357C58"/>
    <w:rsid w:val="42550F44"/>
    <w:rsid w:val="42FA6BB8"/>
    <w:rsid w:val="43994EE9"/>
    <w:rsid w:val="43EB16FD"/>
    <w:rsid w:val="43F5638C"/>
    <w:rsid w:val="4485069B"/>
    <w:rsid w:val="449B19E4"/>
    <w:rsid w:val="450704A8"/>
    <w:rsid w:val="459A6B8A"/>
    <w:rsid w:val="46002A50"/>
    <w:rsid w:val="47743CD8"/>
    <w:rsid w:val="48541778"/>
    <w:rsid w:val="487E2EAA"/>
    <w:rsid w:val="4881538B"/>
    <w:rsid w:val="4A5D2A12"/>
    <w:rsid w:val="4AEE438D"/>
    <w:rsid w:val="4B0B3ABA"/>
    <w:rsid w:val="4B28026A"/>
    <w:rsid w:val="4BEF6C2B"/>
    <w:rsid w:val="4C6F3713"/>
    <w:rsid w:val="4E595735"/>
    <w:rsid w:val="4EC84068"/>
    <w:rsid w:val="50432802"/>
    <w:rsid w:val="504A453C"/>
    <w:rsid w:val="50750A79"/>
    <w:rsid w:val="50A9595A"/>
    <w:rsid w:val="5265579F"/>
    <w:rsid w:val="5306657B"/>
    <w:rsid w:val="564B63D9"/>
    <w:rsid w:val="57597410"/>
    <w:rsid w:val="58030FC9"/>
    <w:rsid w:val="593D12F7"/>
    <w:rsid w:val="594B257F"/>
    <w:rsid w:val="59520841"/>
    <w:rsid w:val="5A3F7E68"/>
    <w:rsid w:val="5B7E2A20"/>
    <w:rsid w:val="5BEF69B5"/>
    <w:rsid w:val="5C2B64C8"/>
    <w:rsid w:val="5DCF5EE5"/>
    <w:rsid w:val="5DF10D77"/>
    <w:rsid w:val="5E784CED"/>
    <w:rsid w:val="5EA13FEC"/>
    <w:rsid w:val="61063481"/>
    <w:rsid w:val="61E76E94"/>
    <w:rsid w:val="62CE4493"/>
    <w:rsid w:val="632E4C7F"/>
    <w:rsid w:val="63845627"/>
    <w:rsid w:val="63DB233D"/>
    <w:rsid w:val="64FA0903"/>
    <w:rsid w:val="666E24E8"/>
    <w:rsid w:val="66764D92"/>
    <w:rsid w:val="66E32901"/>
    <w:rsid w:val="67CF5C06"/>
    <w:rsid w:val="684B5A5C"/>
    <w:rsid w:val="686E7E94"/>
    <w:rsid w:val="68A66D41"/>
    <w:rsid w:val="68CE3D26"/>
    <w:rsid w:val="693B6FA6"/>
    <w:rsid w:val="6BEC782A"/>
    <w:rsid w:val="6CDF60CB"/>
    <w:rsid w:val="6D64532D"/>
    <w:rsid w:val="6D7E5C2F"/>
    <w:rsid w:val="6EC81BF6"/>
    <w:rsid w:val="6F2262E0"/>
    <w:rsid w:val="6F295489"/>
    <w:rsid w:val="6F3E24A5"/>
    <w:rsid w:val="6F7C6456"/>
    <w:rsid w:val="6FE85F4A"/>
    <w:rsid w:val="716D5709"/>
    <w:rsid w:val="73E274B0"/>
    <w:rsid w:val="75802C86"/>
    <w:rsid w:val="771602DC"/>
    <w:rsid w:val="78023F92"/>
    <w:rsid w:val="78F245F3"/>
    <w:rsid w:val="79F00A30"/>
    <w:rsid w:val="7B072253"/>
    <w:rsid w:val="7C82084A"/>
    <w:rsid w:val="7DDE1D58"/>
    <w:rsid w:val="7DE53DCB"/>
    <w:rsid w:val="7DF80C80"/>
    <w:rsid w:val="7E922B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3">
    <w:name w:val="heading 1"/>
    <w:basedOn w:val="1"/>
    <w:next w:val="1"/>
    <w:link w:val="15"/>
    <w:qFormat/>
    <w:uiPriority w:val="0"/>
    <w:pPr>
      <w:keepNext/>
      <w:keepLines/>
      <w:widowControl w:val="0"/>
      <w:spacing w:before="340" w:after="330" w:line="578" w:lineRule="auto"/>
      <w:ind w:firstLine="0" w:firstLineChars="0"/>
      <w:jc w:val="both"/>
      <w:outlineLvl w:val="0"/>
    </w:pPr>
    <w:rPr>
      <w:b/>
      <w:bCs/>
      <w:kern w:val="44"/>
      <w:sz w:val="44"/>
      <w:szCs w:val="44"/>
    </w:rPr>
  </w:style>
  <w:style w:type="paragraph" w:styleId="4">
    <w:name w:val="heading 2"/>
    <w:basedOn w:val="1"/>
    <w:next w:val="1"/>
    <w:link w:val="16"/>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Arial" w:hAnsi="Arial" w:cs="Arial"/>
    </w:rPr>
  </w:style>
  <w:style w:type="paragraph" w:styleId="5">
    <w:name w:val="Document Map"/>
    <w:basedOn w:val="1"/>
    <w:link w:val="17"/>
    <w:unhideWhenUsed/>
    <w:qFormat/>
    <w:uiPriority w:val="99"/>
    <w:rPr>
      <w:rFonts w:ascii="宋体"/>
      <w:sz w:val="18"/>
      <w:szCs w:val="18"/>
    </w:rPr>
  </w:style>
  <w:style w:type="paragraph" w:styleId="6">
    <w:name w:val="Body Text"/>
    <w:basedOn w:val="1"/>
    <w:link w:val="18"/>
    <w:qFormat/>
    <w:uiPriority w:val="0"/>
    <w:pPr>
      <w:widowControl w:val="0"/>
      <w:spacing w:after="120" w:line="240" w:lineRule="auto"/>
      <w:ind w:firstLine="0" w:firstLineChars="0"/>
      <w:jc w:val="both"/>
    </w:pPr>
    <w:rPr>
      <w:rFonts w:ascii="Calibri" w:hAnsi="Calibri" w:eastAsia="宋体" w:cs="Times New Roman"/>
      <w:kern w:val="2"/>
      <w:sz w:val="21"/>
      <w:szCs w:val="24"/>
    </w:rPr>
  </w:style>
  <w:style w:type="paragraph" w:styleId="7">
    <w:name w:val="Plain Text"/>
    <w:basedOn w:val="1"/>
    <w:link w:val="19"/>
    <w:qFormat/>
    <w:uiPriority w:val="99"/>
    <w:pPr>
      <w:widowControl w:val="0"/>
      <w:spacing w:line="240" w:lineRule="auto"/>
      <w:ind w:firstLine="0" w:firstLineChars="0"/>
      <w:jc w:val="both"/>
    </w:pPr>
    <w:rPr>
      <w:rFonts w:ascii="宋体" w:hAnsi="Courier New" w:cs="Courier New"/>
      <w:kern w:val="2"/>
      <w:sz w:val="21"/>
      <w:szCs w:val="21"/>
    </w:rPr>
  </w:style>
  <w:style w:type="paragraph" w:styleId="8">
    <w:name w:val="Date"/>
    <w:basedOn w:val="1"/>
    <w:next w:val="1"/>
    <w:link w:val="20"/>
    <w:unhideWhenUsed/>
    <w:qFormat/>
    <w:uiPriority w:val="99"/>
    <w:pPr>
      <w:ind w:left="100" w:leftChars="2500"/>
    </w:pPr>
  </w:style>
  <w:style w:type="paragraph" w:styleId="9">
    <w:name w:val="Balloon Text"/>
    <w:basedOn w:val="1"/>
    <w:link w:val="21"/>
    <w:unhideWhenUsed/>
    <w:qFormat/>
    <w:uiPriority w:val="99"/>
    <w:pPr>
      <w:spacing w:line="240" w:lineRule="auto"/>
    </w:pPr>
    <w:rPr>
      <w:sz w:val="18"/>
      <w:szCs w:val="18"/>
    </w:rPr>
  </w:style>
  <w:style w:type="paragraph" w:styleId="10">
    <w:name w:val="footer"/>
    <w:basedOn w:val="1"/>
    <w:link w:val="22"/>
    <w:unhideWhenUsed/>
    <w:qFormat/>
    <w:uiPriority w:val="99"/>
    <w:pPr>
      <w:tabs>
        <w:tab w:val="center" w:pos="4153"/>
        <w:tab w:val="right" w:pos="8306"/>
      </w:tabs>
      <w:snapToGrid w:val="0"/>
    </w:pPr>
    <w:rPr>
      <w:rFonts w:ascii="Calibri" w:hAnsi="Calibri"/>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1 字符"/>
    <w:basedOn w:val="14"/>
    <w:link w:val="3"/>
    <w:qFormat/>
    <w:uiPriority w:val="0"/>
    <w:rPr>
      <w:b/>
      <w:bCs/>
      <w:kern w:val="44"/>
      <w:sz w:val="44"/>
      <w:szCs w:val="44"/>
    </w:rPr>
  </w:style>
  <w:style w:type="character" w:customStyle="1" w:styleId="16">
    <w:name w:val="标题 2 字符"/>
    <w:basedOn w:val="14"/>
    <w:link w:val="4"/>
    <w:qFormat/>
    <w:uiPriority w:val="0"/>
    <w:rPr>
      <w:rFonts w:ascii="Arial" w:hAnsi="Arial" w:eastAsia="黑体"/>
      <w:b/>
      <w:bCs/>
      <w:kern w:val="2"/>
      <w:sz w:val="32"/>
      <w:szCs w:val="32"/>
    </w:rPr>
  </w:style>
  <w:style w:type="character" w:customStyle="1" w:styleId="17">
    <w:name w:val="文档结构图 字符"/>
    <w:basedOn w:val="14"/>
    <w:link w:val="5"/>
    <w:semiHidden/>
    <w:qFormat/>
    <w:uiPriority w:val="99"/>
    <w:rPr>
      <w:rFonts w:ascii="宋体"/>
      <w:sz w:val="18"/>
      <w:szCs w:val="18"/>
    </w:rPr>
  </w:style>
  <w:style w:type="character" w:customStyle="1" w:styleId="18">
    <w:name w:val="正文文本 字符"/>
    <w:basedOn w:val="14"/>
    <w:link w:val="6"/>
    <w:qFormat/>
    <w:uiPriority w:val="0"/>
    <w:rPr>
      <w:rFonts w:ascii="Calibri" w:hAnsi="Calibri" w:eastAsia="宋体" w:cs="Times New Roman"/>
      <w:kern w:val="2"/>
      <w:sz w:val="21"/>
      <w:szCs w:val="24"/>
    </w:rPr>
  </w:style>
  <w:style w:type="character" w:customStyle="1" w:styleId="19">
    <w:name w:val="纯文本 字符"/>
    <w:basedOn w:val="14"/>
    <w:link w:val="7"/>
    <w:qFormat/>
    <w:uiPriority w:val="99"/>
    <w:rPr>
      <w:rFonts w:ascii="宋体" w:hAnsi="Courier New" w:cs="Courier New"/>
      <w:kern w:val="2"/>
      <w:sz w:val="21"/>
      <w:szCs w:val="21"/>
    </w:rPr>
  </w:style>
  <w:style w:type="character" w:customStyle="1" w:styleId="20">
    <w:name w:val="日期 字符"/>
    <w:basedOn w:val="14"/>
    <w:link w:val="8"/>
    <w:semiHidden/>
    <w:qFormat/>
    <w:uiPriority w:val="99"/>
    <w:rPr>
      <w:sz w:val="24"/>
    </w:rPr>
  </w:style>
  <w:style w:type="character" w:customStyle="1" w:styleId="21">
    <w:name w:val="批注框文本 字符"/>
    <w:basedOn w:val="14"/>
    <w:link w:val="9"/>
    <w:semiHidden/>
    <w:qFormat/>
    <w:uiPriority w:val="99"/>
    <w:rPr>
      <w:sz w:val="18"/>
      <w:szCs w:val="18"/>
    </w:rPr>
  </w:style>
  <w:style w:type="character" w:customStyle="1" w:styleId="22">
    <w:name w:val="页脚 字符"/>
    <w:basedOn w:val="14"/>
    <w:link w:val="10"/>
    <w:semiHidden/>
    <w:qFormat/>
    <w:uiPriority w:val="99"/>
    <w:rPr>
      <w:rFonts w:ascii="Calibri" w:hAnsi="Calibri" w:eastAsia="宋体" w:cs="Times New Roman"/>
      <w:kern w:val="0"/>
      <w:sz w:val="18"/>
      <w:szCs w:val="18"/>
    </w:rPr>
  </w:style>
  <w:style w:type="character" w:customStyle="1" w:styleId="23">
    <w:name w:val="页眉 字符"/>
    <w:basedOn w:val="14"/>
    <w:link w:val="11"/>
    <w:qFormat/>
    <w:uiPriority w:val="99"/>
    <w:rPr>
      <w:rFonts w:ascii="Calibri" w:hAnsi="Calibri" w:eastAsia="宋体" w:cs="Times New Roman"/>
      <w:kern w:val="0"/>
      <w:sz w:val="18"/>
      <w:szCs w:val="18"/>
    </w:rPr>
  </w:style>
  <w:style w:type="paragraph" w:styleId="24">
    <w:name w:val="List Paragraph"/>
    <w:basedOn w:val="1"/>
    <w:unhideWhenUsed/>
    <w:qFormat/>
    <w:uiPriority w:val="99"/>
    <w:pPr>
      <w:ind w:firstLine="420"/>
    </w:pPr>
  </w:style>
  <w:style w:type="paragraph" w:customStyle="1" w:styleId="25">
    <w:name w:val="列出段落1"/>
    <w:basedOn w:val="1"/>
    <w:qFormat/>
    <w:uiPriority w:val="99"/>
    <w:pPr>
      <w:widowControl w:val="0"/>
      <w:spacing w:line="240" w:lineRule="auto"/>
      <w:ind w:firstLine="420"/>
      <w:jc w:val="both"/>
    </w:pPr>
    <w:rPr>
      <w:kern w:val="2"/>
      <w:sz w:val="21"/>
      <w:szCs w:val="24"/>
    </w:rPr>
  </w:style>
  <w:style w:type="character" w:customStyle="1" w:styleId="26">
    <w:name w:val="页眉 Char"/>
    <w:qFormat/>
    <w:locked/>
    <w:uiPriority w:val="99"/>
    <w:rPr>
      <w:rFonts w:eastAsia="宋体" w:cs="Times New Roman"/>
      <w:kern w:val="2"/>
      <w:sz w:val="18"/>
      <w:szCs w:val="18"/>
      <w:lang w:val="en-US" w:eastAsia="zh-CN" w:bidi="ar-SA"/>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font11"/>
    <w:basedOn w:val="14"/>
    <w:qFormat/>
    <w:uiPriority w:val="0"/>
    <w:rPr>
      <w:rFonts w:hint="eastAsia" w:ascii="宋体" w:hAnsi="宋体" w:eastAsia="宋体" w:cs="宋体"/>
      <w:color w:val="000000"/>
      <w:sz w:val="21"/>
      <w:szCs w:val="21"/>
      <w:u w:val="none"/>
    </w:rPr>
  </w:style>
  <w:style w:type="character" w:customStyle="1" w:styleId="29">
    <w:name w:val="font21"/>
    <w:basedOn w:val="1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10</Pages>
  <Words>6061</Words>
  <Characters>7063</Characters>
  <Lines>46</Lines>
  <Paragraphs>13</Paragraphs>
  <TotalTime>36</TotalTime>
  <ScaleCrop>false</ScaleCrop>
  <LinksUpToDate>false</LinksUpToDate>
  <CharactersWithSpaces>7386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2021-02-24T04:50:00Z</dcterms:created>
  <dc:creator>a</dc:creator>
  <cp:lastModifiedBy>Darren</cp:lastModifiedBy>
  <cp:lastPrinted>2024-05-13T06:53:00Z</cp:lastPrinted>
  <dcterms:modified xsi:type="dcterms:W3CDTF">2024-05-17T08:59:24Z</dcterms:modified>
  <cp:revision>355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7F231065717F4559B127AAB1392C00F7_13</vt:lpwstr>
  </property>
</Properties>
</file>